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00B8C7">
      <w:pPr>
        <w:spacing w:line="360" w:lineRule="auto"/>
        <w:rPr>
          <w:rFonts w:ascii="宋体" w:hAnsi="宋体" w:cs="宋体"/>
          <w:color w:val="000000" w:themeColor="text1"/>
          <w:sz w:val="50"/>
          <w14:textFill>
            <w14:solidFill>
              <w14:schemeClr w14:val="tx1"/>
            </w14:solidFill>
          </w14:textFill>
        </w:rPr>
      </w:pPr>
      <w:r>
        <w:rPr>
          <w:rFonts w:hint="eastAsia" w:ascii="宋体" w:hAnsi="宋体" w:cs="宋体"/>
          <w:color w:val="000000" w:themeColor="text1"/>
          <w:sz w:val="50"/>
          <w14:textFill>
            <w14:solidFill>
              <w14:schemeClr w14:val="tx1"/>
            </w14:solidFill>
          </w14:textFill>
        </w:rPr>
        <w:t xml:space="preserve">                          </w:t>
      </w:r>
    </w:p>
    <w:p w14:paraId="03037348">
      <w:pPr>
        <w:spacing w:line="360" w:lineRule="auto"/>
        <w:jc w:val="center"/>
        <w:rPr>
          <w:rFonts w:hint="default" w:ascii="Times New Roman" w:hAnsi="Times New Roman" w:eastAsia="宋体"/>
          <w:b/>
          <w:color w:val="000000" w:themeColor="text1"/>
          <w:sz w:val="44"/>
          <w:szCs w:val="44"/>
          <w:u w:val="single"/>
          <w:lang w:val="en-US" w:eastAsia="zh-CN"/>
          <w14:textFill>
            <w14:solidFill>
              <w14:schemeClr w14:val="tx1"/>
            </w14:solidFill>
          </w14:textFill>
        </w:rPr>
      </w:pPr>
      <w:r>
        <w:rPr>
          <w:rFonts w:hint="eastAsia" w:ascii="Times New Roman" w:hAnsi="Times New Roman"/>
          <w:b/>
          <w:color w:val="000000" w:themeColor="text1"/>
          <w:sz w:val="44"/>
          <w:szCs w:val="44"/>
          <w:u w:val="single"/>
          <w14:textFill>
            <w14:solidFill>
              <w14:schemeClr w14:val="tx1"/>
            </w14:solidFill>
          </w14:textFill>
        </w:rPr>
        <w:t>沱涔大道帮扶车间产业园建设项目</w:t>
      </w:r>
      <w:r>
        <w:rPr>
          <w:rFonts w:hint="eastAsia" w:ascii="Times New Roman" w:hAnsi="Times New Roman"/>
          <w:b/>
          <w:color w:val="000000" w:themeColor="text1"/>
          <w:sz w:val="44"/>
          <w:szCs w:val="44"/>
          <w:u w:val="single"/>
          <w:lang w:val="en-US" w:eastAsia="zh-CN"/>
          <w14:textFill>
            <w14:solidFill>
              <w14:schemeClr w14:val="tx1"/>
            </w14:solidFill>
          </w14:textFill>
        </w:rPr>
        <w:t>-厂房二</w:t>
      </w:r>
    </w:p>
    <w:p w14:paraId="04B38BAF">
      <w:pPr>
        <w:spacing w:line="360" w:lineRule="auto"/>
        <w:jc w:val="center"/>
        <w:rPr>
          <w:rFonts w:ascii="宋体" w:hAnsi="宋体" w:cs="宋体"/>
          <w:b/>
          <w:color w:val="000000" w:themeColor="text1"/>
          <w:sz w:val="44"/>
          <w14:textFill>
            <w14:solidFill>
              <w14:schemeClr w14:val="tx1"/>
            </w14:solidFill>
          </w14:textFill>
        </w:rPr>
      </w:pPr>
      <w:r>
        <w:rPr>
          <w:rFonts w:hint="eastAsia" w:ascii="宋体" w:hAnsi="宋体" w:cs="宋体"/>
          <w:b/>
          <w:color w:val="000000" w:themeColor="text1"/>
          <w:sz w:val="44"/>
          <w14:textFill>
            <w14:solidFill>
              <w14:schemeClr w14:val="tx1"/>
            </w14:solidFill>
          </w14:textFill>
        </w:rPr>
        <w:t>消防设计文件</w:t>
      </w:r>
    </w:p>
    <w:p w14:paraId="78A13137">
      <w:pPr>
        <w:pStyle w:val="2"/>
        <w:spacing w:line="360" w:lineRule="auto"/>
        <w:ind w:firstLine="480"/>
        <w:rPr>
          <w:rFonts w:ascii="宋体" w:hAnsi="宋体" w:cs="宋体"/>
          <w:color w:val="000000" w:themeColor="text1"/>
          <w14:textFill>
            <w14:solidFill>
              <w14:schemeClr w14:val="tx1"/>
            </w14:solidFill>
          </w14:textFill>
        </w:rPr>
      </w:pPr>
    </w:p>
    <w:p w14:paraId="448F008A">
      <w:pPr>
        <w:pStyle w:val="2"/>
        <w:spacing w:line="360" w:lineRule="auto"/>
        <w:ind w:left="0" w:leftChars="0" w:firstLine="0" w:firstLineChars="0"/>
        <w:rPr>
          <w:rFonts w:ascii="宋体" w:hAnsi="宋体" w:cs="宋体"/>
          <w:color w:val="000000" w:themeColor="text1"/>
          <w14:textFill>
            <w14:solidFill>
              <w14:schemeClr w14:val="tx1"/>
            </w14:solidFill>
          </w14:textFill>
        </w:rPr>
      </w:pPr>
    </w:p>
    <w:p w14:paraId="205F01CE">
      <w:pPr>
        <w:pStyle w:val="2"/>
        <w:spacing w:line="360" w:lineRule="auto"/>
        <w:ind w:left="4136" w:leftChars="484" w:hanging="3120" w:hangingChars="1300"/>
        <w:rPr>
          <w:rFonts w:hint="default" w:ascii="宋体" w:hAnsi="宋体" w:eastAsia="宋体" w:cs="宋体"/>
          <w:color w:val="000000" w:themeColor="text1"/>
          <w:sz w:val="30"/>
          <w:szCs w:val="30"/>
          <w:lang w:val="en-US" w:eastAsia="zh-CN"/>
          <w14:textFill>
            <w14:solidFill>
              <w14:schemeClr w14:val="tx1"/>
            </w14:solidFill>
          </w14:textFill>
        </w:rPr>
      </w:pPr>
      <w:r>
        <w:drawing>
          <wp:anchor distT="0" distB="0" distL="114300" distR="114300" simplePos="0" relativeHeight="251665408" behindDoc="0" locked="0" layoutInCell="1" allowOverlap="1">
            <wp:simplePos x="0" y="0"/>
            <wp:positionH relativeFrom="column">
              <wp:posOffset>3796030</wp:posOffset>
            </wp:positionH>
            <wp:positionV relativeFrom="paragraph">
              <wp:posOffset>86995</wp:posOffset>
            </wp:positionV>
            <wp:extent cx="696595" cy="386715"/>
            <wp:effectExtent l="0" t="0" r="8255" b="13335"/>
            <wp:wrapNone/>
            <wp:docPr id="8" name="图片 8" descr="F:/工作文件/章/签名/方文峰.png方文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工作文件/章/签名/方文峰.png方文峰"/>
                    <pic:cNvPicPr>
                      <a:picLocks noChangeAspect="1"/>
                    </pic:cNvPicPr>
                  </pic:nvPicPr>
                  <pic:blipFill>
                    <a:blip r:embed="rId7"/>
                    <a:srcRect t="1960" b="1960"/>
                    <a:stretch>
                      <a:fillRect/>
                    </a:stretch>
                  </pic:blipFill>
                  <pic:spPr>
                    <a:xfrm>
                      <a:off x="0" y="0"/>
                      <a:ext cx="696595" cy="386715"/>
                    </a:xfrm>
                    <a:prstGeom prst="rect">
                      <a:avLst/>
                    </a:prstGeom>
                    <a:noFill/>
                    <a:ln>
                      <a:noFill/>
                    </a:ln>
                  </pic:spPr>
                </pic:pic>
              </a:graphicData>
            </a:graphic>
          </wp:anchor>
        </w:drawing>
      </w:r>
      <w:r>
        <w:rPr>
          <w:rFonts w:hint="eastAsia" w:ascii="宋体" w:hAnsi="宋体" w:cs="宋体"/>
          <w:color w:val="000000" w:themeColor="text1"/>
          <w:sz w:val="30"/>
          <w:szCs w:val="30"/>
          <w:lang w:val="en-US" w:eastAsia="zh-CN"/>
          <w14:textFill>
            <w14:solidFill>
              <w14:schemeClr w14:val="tx1"/>
            </w14:solidFill>
          </w14:textFill>
        </w:rPr>
        <w:t xml:space="preserve">               公司法人</w:t>
      </w:r>
      <w:r>
        <w:rPr>
          <w:rFonts w:hint="eastAsia" w:ascii="宋体" w:hAnsi="宋体" w:cs="宋体"/>
          <w:color w:val="000000" w:themeColor="text1"/>
          <w:sz w:val="30"/>
          <w:szCs w:val="30"/>
          <w14:textFill>
            <w14:solidFill>
              <w14:schemeClr w14:val="tx1"/>
            </w14:solidFill>
          </w14:textFill>
        </w:rPr>
        <w:t>：</w:t>
      </w:r>
      <w:r>
        <w:rPr>
          <w:rFonts w:hint="eastAsia" w:ascii="宋体" w:hAnsi="宋体" w:cs="宋体"/>
          <w:color w:val="000000" w:themeColor="text1"/>
          <w:sz w:val="30"/>
          <w:szCs w:val="30"/>
          <w:lang w:val="en-US" w:eastAsia="zh-CN"/>
          <w14:textFill>
            <w14:solidFill>
              <w14:schemeClr w14:val="tx1"/>
            </w14:solidFill>
          </w14:textFill>
        </w:rPr>
        <w:t>方文锋</w:t>
      </w:r>
    </w:p>
    <w:p w14:paraId="54E2757B">
      <w:pPr>
        <w:pStyle w:val="2"/>
        <w:spacing w:line="360" w:lineRule="auto"/>
        <w:ind w:firstLine="2880" w:firstLineChars="1200"/>
        <w:rPr>
          <w:rFonts w:hint="default" w:ascii="宋体" w:hAnsi="宋体" w:eastAsia="宋体" w:cs="宋体"/>
          <w:color w:val="000000" w:themeColor="text1"/>
          <w:lang w:val="en-US" w:eastAsia="zh-CN"/>
          <w14:textFill>
            <w14:solidFill>
              <w14:schemeClr w14:val="tx1"/>
            </w14:solidFill>
          </w14:textFill>
        </w:rPr>
      </w:pPr>
      <w:r>
        <w:drawing>
          <wp:anchor distT="0" distB="0" distL="114300" distR="114300" simplePos="0" relativeHeight="251660288" behindDoc="0" locked="0" layoutInCell="1" allowOverlap="1">
            <wp:simplePos x="0" y="0"/>
            <wp:positionH relativeFrom="column">
              <wp:posOffset>4234180</wp:posOffset>
            </wp:positionH>
            <wp:positionV relativeFrom="paragraph">
              <wp:posOffset>432435</wp:posOffset>
            </wp:positionV>
            <wp:extent cx="696595" cy="386715"/>
            <wp:effectExtent l="0" t="0" r="8255" b="13335"/>
            <wp:wrapNone/>
            <wp:docPr id="1" name="图片 1" descr="F:/工作文件/章/签名/彭英.png彭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工作文件/章/签名/彭英.png彭英"/>
                    <pic:cNvPicPr>
                      <a:picLocks noChangeAspect="1"/>
                    </pic:cNvPicPr>
                  </pic:nvPicPr>
                  <pic:blipFill>
                    <a:blip r:embed="rId8"/>
                    <a:srcRect t="4923" b="4923"/>
                    <a:stretch>
                      <a:fillRect/>
                    </a:stretch>
                  </pic:blipFill>
                  <pic:spPr>
                    <a:xfrm>
                      <a:off x="0" y="0"/>
                      <a:ext cx="696595" cy="386715"/>
                    </a:xfrm>
                    <a:prstGeom prst="rect">
                      <a:avLst/>
                    </a:prstGeom>
                    <a:noFill/>
                    <a:ln>
                      <a:noFill/>
                    </a:ln>
                  </pic:spPr>
                </pic:pic>
              </a:graphicData>
            </a:graphic>
          </wp:anchor>
        </w:drawing>
      </w:r>
      <w:r>
        <w:drawing>
          <wp:anchor distT="0" distB="0" distL="114300" distR="114300" simplePos="0" relativeHeight="251663360" behindDoc="0" locked="0" layoutInCell="1" allowOverlap="1">
            <wp:simplePos x="0" y="0"/>
            <wp:positionH relativeFrom="column">
              <wp:posOffset>4291330</wp:posOffset>
            </wp:positionH>
            <wp:positionV relativeFrom="paragraph">
              <wp:posOffset>81280</wp:posOffset>
            </wp:positionV>
            <wp:extent cx="696595" cy="386715"/>
            <wp:effectExtent l="0" t="0" r="8255" b="13335"/>
            <wp:wrapNone/>
            <wp:docPr id="5" name="图片 5" descr="F:/工作文件/章/签名/高梦琦.png高梦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工作文件/章/签名/高梦琦.png高梦琦"/>
                    <pic:cNvPicPr>
                      <a:picLocks noChangeAspect="1"/>
                    </pic:cNvPicPr>
                  </pic:nvPicPr>
                  <pic:blipFill>
                    <a:blip r:embed="rId9"/>
                    <a:srcRect l="8703" r="8703"/>
                    <a:stretch>
                      <a:fillRect/>
                    </a:stretch>
                  </pic:blipFill>
                  <pic:spPr>
                    <a:xfrm>
                      <a:off x="0" y="0"/>
                      <a:ext cx="696595" cy="386715"/>
                    </a:xfrm>
                    <a:prstGeom prst="rect">
                      <a:avLst/>
                    </a:prstGeom>
                    <a:noFill/>
                    <a:ln>
                      <a:noFill/>
                    </a:ln>
                  </pic:spPr>
                </pic:pic>
              </a:graphicData>
            </a:graphic>
          </wp:anchor>
        </w:drawing>
      </w:r>
      <w:r>
        <w:rPr>
          <w:rFonts w:hint="eastAsia" w:ascii="宋体" w:hAnsi="宋体" w:cs="宋体"/>
          <w:color w:val="000000" w:themeColor="text1"/>
          <w:sz w:val="30"/>
          <w:szCs w:val="30"/>
          <w:lang w:val="en-US" w:eastAsia="zh-CN"/>
          <w14:textFill>
            <w14:solidFill>
              <w14:schemeClr w14:val="tx1"/>
            </w14:solidFill>
          </w14:textFill>
        </w:rPr>
        <w:t>技术总负责人</w:t>
      </w:r>
      <w:r>
        <w:rPr>
          <w:rFonts w:hint="eastAsia" w:ascii="宋体" w:hAnsi="宋体" w:cs="宋体"/>
          <w:color w:val="000000" w:themeColor="text1"/>
          <w:sz w:val="30"/>
          <w:szCs w:val="30"/>
          <w14:textFill>
            <w14:solidFill>
              <w14:schemeClr w14:val="tx1"/>
            </w14:solidFill>
          </w14:textFill>
        </w:rPr>
        <w:t>：</w:t>
      </w:r>
      <w:r>
        <w:rPr>
          <w:rFonts w:hint="eastAsia" w:ascii="宋体" w:hAnsi="宋体" w:cs="宋体"/>
          <w:color w:val="000000" w:themeColor="text1"/>
          <w:sz w:val="30"/>
          <w:szCs w:val="30"/>
          <w:lang w:val="en-US" w:eastAsia="zh-CN"/>
          <w14:textFill>
            <w14:solidFill>
              <w14:schemeClr w14:val="tx1"/>
            </w14:solidFill>
          </w14:textFill>
        </w:rPr>
        <w:t>高梦琦</w:t>
      </w:r>
    </w:p>
    <w:p w14:paraId="19323C82">
      <w:pPr>
        <w:spacing w:line="240" w:lineRule="auto"/>
        <w:ind w:firstLine="1890" w:firstLineChars="900"/>
        <w:rPr>
          <w:rFonts w:hint="default" w:ascii="宋体" w:hAnsi="宋体" w:eastAsia="宋体" w:cs="宋体"/>
          <w:color w:val="000000" w:themeColor="text1"/>
          <w:sz w:val="30"/>
          <w:szCs w:val="30"/>
          <w:lang w:val="en-US" w:eastAsia="zh-CN"/>
          <w14:textFill>
            <w14:solidFill>
              <w14:schemeClr w14:val="tx1"/>
            </w14:solidFill>
          </w14:textFill>
        </w:rPr>
      </w:pPr>
      <w:r>
        <w:drawing>
          <wp:anchor distT="0" distB="0" distL="114300" distR="114300" simplePos="0" relativeHeight="251666432" behindDoc="0" locked="0" layoutInCell="1" allowOverlap="1">
            <wp:simplePos x="0" y="0"/>
            <wp:positionH relativeFrom="column">
              <wp:posOffset>4187825</wp:posOffset>
            </wp:positionH>
            <wp:positionV relativeFrom="paragraph">
              <wp:posOffset>316865</wp:posOffset>
            </wp:positionV>
            <wp:extent cx="696595" cy="386715"/>
            <wp:effectExtent l="0" t="0" r="8255" b="13335"/>
            <wp:wrapNone/>
            <wp:docPr id="9" name="图片 1" descr="F:/工作文件/章/签名/彭英.png彭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F:/工作文件/章/签名/彭英.png彭英"/>
                    <pic:cNvPicPr>
                      <a:picLocks noChangeAspect="1"/>
                    </pic:cNvPicPr>
                  </pic:nvPicPr>
                  <pic:blipFill>
                    <a:blip r:embed="rId8"/>
                    <a:srcRect t="4923" b="4923"/>
                    <a:stretch>
                      <a:fillRect/>
                    </a:stretch>
                  </pic:blipFill>
                  <pic:spPr>
                    <a:xfrm>
                      <a:off x="0" y="0"/>
                      <a:ext cx="696595" cy="386715"/>
                    </a:xfrm>
                    <a:prstGeom prst="rect">
                      <a:avLst/>
                    </a:prstGeom>
                    <a:noFill/>
                    <a:ln>
                      <a:noFill/>
                    </a:ln>
                  </pic:spPr>
                </pic:pic>
              </a:graphicData>
            </a:graphic>
          </wp:anchor>
        </w:drawing>
      </w:r>
      <w:r>
        <w:rPr>
          <w:rFonts w:hint="eastAsia" w:ascii="宋体" w:hAnsi="宋体" w:eastAsia="宋体" w:cs="宋体"/>
          <w:color w:val="000000" w:themeColor="text1"/>
          <w:sz w:val="30"/>
          <w:szCs w:val="30"/>
          <w:lang w:eastAsia="zh-CN"/>
          <w14:textFill>
            <w14:solidFill>
              <w14:schemeClr w14:val="tx1"/>
            </w14:solidFill>
          </w14:textFill>
        </w:rPr>
        <w:drawing>
          <wp:anchor distT="0" distB="0" distL="114300" distR="114300" simplePos="0" relativeHeight="251667456" behindDoc="0" locked="0" layoutInCell="1" allowOverlap="1">
            <wp:simplePos x="0" y="0"/>
            <wp:positionH relativeFrom="column">
              <wp:posOffset>4512310</wp:posOffset>
            </wp:positionH>
            <wp:positionV relativeFrom="paragraph">
              <wp:posOffset>457200</wp:posOffset>
            </wp:positionV>
            <wp:extent cx="382270" cy="942340"/>
            <wp:effectExtent l="0" t="0" r="10160" b="17780"/>
            <wp:wrapNone/>
            <wp:docPr id="10" name="图片 10" descr="陈罕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陈罕颖"/>
                    <pic:cNvPicPr>
                      <a:picLocks noChangeAspect="1"/>
                    </pic:cNvPicPr>
                  </pic:nvPicPr>
                  <pic:blipFill>
                    <a:blip r:embed="rId10"/>
                    <a:stretch>
                      <a:fillRect/>
                    </a:stretch>
                  </pic:blipFill>
                  <pic:spPr>
                    <a:xfrm rot="16200000">
                      <a:off x="0" y="0"/>
                      <a:ext cx="382270" cy="942340"/>
                    </a:xfrm>
                    <a:prstGeom prst="rect">
                      <a:avLst/>
                    </a:prstGeom>
                  </pic:spPr>
                </pic:pic>
              </a:graphicData>
            </a:graphic>
          </wp:anchor>
        </w:drawing>
      </w:r>
      <w:r>
        <w:drawing>
          <wp:anchor distT="0" distB="0" distL="114300" distR="114300" simplePos="0" relativeHeight="251659264" behindDoc="0" locked="0" layoutInCell="1" allowOverlap="1">
            <wp:simplePos x="0" y="0"/>
            <wp:positionH relativeFrom="column">
              <wp:posOffset>4448175</wp:posOffset>
            </wp:positionH>
            <wp:positionV relativeFrom="paragraph">
              <wp:posOffset>1180465</wp:posOffset>
            </wp:positionV>
            <wp:extent cx="696595" cy="386715"/>
            <wp:effectExtent l="0" t="0" r="8255" b="13335"/>
            <wp:wrapNone/>
            <wp:docPr id="7" name="图片 1" descr="F:/工作文件/章/签名/彭英.png彭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F:/工作文件/章/签名/彭英.png彭英"/>
                    <pic:cNvPicPr>
                      <a:picLocks noChangeAspect="1"/>
                    </pic:cNvPicPr>
                  </pic:nvPicPr>
                  <pic:blipFill>
                    <a:blip r:embed="rId8"/>
                    <a:srcRect t="4923" b="4923"/>
                    <a:stretch>
                      <a:fillRect/>
                    </a:stretch>
                  </pic:blipFill>
                  <pic:spPr>
                    <a:xfrm>
                      <a:off x="0" y="0"/>
                      <a:ext cx="696595" cy="386715"/>
                    </a:xfrm>
                    <a:prstGeom prst="rect">
                      <a:avLst/>
                    </a:prstGeom>
                    <a:noFill/>
                    <a:ln>
                      <a:noFill/>
                    </a:ln>
                  </pic:spPr>
                </pic:pic>
              </a:graphicData>
            </a:graphic>
          </wp:anchor>
        </w:drawing>
      </w:r>
      <w:r>
        <w:rPr>
          <w:rFonts w:hint="eastAsia" w:ascii="宋体" w:hAnsi="宋体" w:cs="宋体"/>
          <w:color w:val="000000" w:themeColor="text1"/>
          <w:sz w:val="30"/>
          <w:szCs w:val="30"/>
          <w14:textFill>
            <w14:solidFill>
              <w14:schemeClr w14:val="tx1"/>
            </w14:solidFill>
          </w14:textFill>
        </w:rPr>
        <w:t xml:space="preserve">    </w:t>
      </w:r>
      <w:r>
        <w:rPr>
          <w:rFonts w:hint="eastAsia" w:ascii="宋体" w:hAnsi="宋体" w:cs="宋体"/>
          <w:color w:val="000000" w:themeColor="text1"/>
          <w:sz w:val="30"/>
          <w:szCs w:val="30"/>
          <w:lang w:val="en-US" w:eastAsia="zh-CN"/>
          <w14:textFill>
            <w14:solidFill>
              <w14:schemeClr w14:val="tx1"/>
            </w14:solidFill>
          </w14:textFill>
        </w:rPr>
        <w:t xml:space="preserve">      </w:t>
      </w:r>
      <w:r>
        <w:rPr>
          <w:rFonts w:hint="eastAsia" w:ascii="宋体" w:hAnsi="宋体" w:cs="宋体"/>
          <w:color w:val="000000" w:themeColor="text1"/>
          <w:sz w:val="30"/>
          <w:szCs w:val="30"/>
          <w14:textFill>
            <w14:solidFill>
              <w14:schemeClr w14:val="tx1"/>
            </w14:solidFill>
          </w14:textFill>
        </w:rPr>
        <w:t>项目</w:t>
      </w:r>
      <w:r>
        <w:rPr>
          <w:rFonts w:hint="eastAsia" w:ascii="宋体" w:hAnsi="宋体" w:cs="宋体"/>
          <w:color w:val="000000" w:themeColor="text1"/>
          <w:sz w:val="30"/>
          <w:szCs w:val="30"/>
          <w:lang w:val="en-US" w:eastAsia="zh-CN"/>
          <w14:textFill>
            <w14:solidFill>
              <w14:schemeClr w14:val="tx1"/>
            </w14:solidFill>
          </w14:textFill>
        </w:rPr>
        <w:t>总</w:t>
      </w:r>
      <w:r>
        <w:rPr>
          <w:rFonts w:hint="eastAsia" w:ascii="宋体" w:hAnsi="宋体" w:cs="宋体"/>
          <w:color w:val="000000" w:themeColor="text1"/>
          <w:sz w:val="30"/>
          <w:szCs w:val="30"/>
          <w14:textFill>
            <w14:solidFill>
              <w14:schemeClr w14:val="tx1"/>
            </w14:solidFill>
          </w14:textFill>
        </w:rPr>
        <w:t>负责人：</w:t>
      </w:r>
      <w:r>
        <w:rPr>
          <w:rFonts w:hint="eastAsia" w:ascii="宋体" w:hAnsi="宋体" w:cs="宋体"/>
          <w:color w:val="000000" w:themeColor="text1"/>
          <w:sz w:val="30"/>
          <w:szCs w:val="30"/>
          <w:u w:val="none"/>
          <w:lang w:val="en-US" w:eastAsia="zh-CN"/>
          <w14:textFill>
            <w14:solidFill>
              <w14:schemeClr w14:val="tx1"/>
            </w14:solidFill>
          </w14:textFill>
        </w:rPr>
        <w:t>彭英</w:t>
      </w:r>
      <w:r>
        <w:rPr>
          <w:rFonts w:hint="eastAsia" w:ascii="宋体" w:hAnsi="宋体" w:cs="宋体"/>
          <w:color w:val="000000" w:themeColor="text1"/>
          <w:sz w:val="30"/>
          <w:szCs w:val="30"/>
          <w:u w:val="none"/>
          <w:lang w:val="en-US" w:eastAsia="zh-CN"/>
          <w14:textFill>
            <w14:solidFill>
              <w14:schemeClr w14:val="tx1"/>
            </w14:solidFill>
          </w14:textFill>
        </w:rPr>
        <w:br w:type="textWrapping"/>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注册建筑师：彭英</w:t>
      </w:r>
      <w:r>
        <w:rPr>
          <w:rFonts w:hint="eastAsia" w:ascii="宋体" w:hAnsi="宋体" w:cs="宋体"/>
          <w:color w:val="000000" w:themeColor="text1"/>
          <w:sz w:val="30"/>
          <w:szCs w:val="30"/>
          <w:u w:val="none"/>
          <w:lang w:val="en-US" w:eastAsia="zh-CN"/>
          <w14:textFill>
            <w14:solidFill>
              <w14:schemeClr w14:val="tx1"/>
            </w14:solidFill>
          </w14:textFill>
        </w:rPr>
        <w:br w:type="textWrapping"/>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 xml:space="preserve"> </w:t>
      </w:r>
      <w:r>
        <w:rPr>
          <w:rFonts w:hint="eastAsia" w:ascii="宋体" w:hAnsi="宋体" w:cs="宋体"/>
          <w:color w:val="000000" w:themeColor="text1"/>
          <w:sz w:val="30"/>
          <w:szCs w:val="30"/>
          <w:u w:val="none"/>
          <w:lang w:val="en-US" w:eastAsia="zh-CN"/>
          <w14:textFill>
            <w14:solidFill>
              <w14:schemeClr w14:val="tx1"/>
            </w14:solidFill>
          </w14:textFill>
        </w:rPr>
        <w:tab/>
      </w:r>
      <w:r>
        <w:rPr>
          <w:rFonts w:hint="eastAsia" w:ascii="宋体" w:hAnsi="宋体" w:cs="宋体"/>
          <w:color w:val="000000" w:themeColor="text1"/>
          <w:sz w:val="30"/>
          <w:szCs w:val="30"/>
          <w:u w:val="none"/>
          <w:lang w:val="en-US" w:eastAsia="zh-CN"/>
          <w14:textFill>
            <w14:solidFill>
              <w14:schemeClr w14:val="tx1"/>
            </w14:solidFill>
          </w14:textFill>
        </w:rPr>
        <w:t>注册结构师：</w:t>
      </w:r>
      <w:r>
        <w:rPr>
          <w:rFonts w:hint="eastAsia" w:ascii="宋体" w:hAnsi="宋体" w:cs="宋体"/>
          <w:color w:val="000000" w:themeColor="text1"/>
          <w:sz w:val="30"/>
          <w:szCs w:val="30"/>
          <w:lang w:val="en-US" w:eastAsia="zh-CN"/>
          <w14:textFill>
            <w14:solidFill>
              <w14:schemeClr w14:val="tx1"/>
            </w14:solidFill>
          </w14:textFill>
        </w:rPr>
        <w:t>陈罕颖</w:t>
      </w:r>
    </w:p>
    <w:p w14:paraId="14BE960E">
      <w:pPr>
        <w:spacing w:line="240" w:lineRule="auto"/>
        <w:ind w:firstLine="2100" w:firstLineChars="7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 xml:space="preserve">        建筑专业负责人：</w:t>
      </w:r>
      <w:r>
        <w:rPr>
          <w:rFonts w:hint="eastAsia" w:ascii="宋体" w:hAnsi="宋体" w:cs="宋体"/>
          <w:color w:val="000000" w:themeColor="text1"/>
          <w:sz w:val="30"/>
          <w:szCs w:val="30"/>
          <w:u w:val="none"/>
          <w14:textFill>
            <w14:solidFill>
              <w14:schemeClr w14:val="tx1"/>
            </w14:solidFill>
          </w14:textFill>
        </w:rPr>
        <w:t xml:space="preserve"> </w:t>
      </w:r>
      <w:r>
        <w:rPr>
          <w:rFonts w:hint="eastAsia" w:ascii="宋体" w:hAnsi="宋体" w:cs="宋体"/>
          <w:color w:val="000000" w:themeColor="text1"/>
          <w:sz w:val="30"/>
          <w:szCs w:val="30"/>
          <w:u w:val="none"/>
          <w:lang w:val="en-US" w:eastAsia="zh-CN"/>
          <w14:textFill>
            <w14:solidFill>
              <w14:schemeClr w14:val="tx1"/>
            </w14:solidFill>
          </w14:textFill>
        </w:rPr>
        <w:t>彭英</w:t>
      </w:r>
      <w:r>
        <w:rPr>
          <w:rFonts w:hint="eastAsia" w:ascii="宋体" w:hAnsi="宋体" w:cs="宋体"/>
          <w:color w:val="000000" w:themeColor="text1"/>
          <w:sz w:val="30"/>
          <w:szCs w:val="30"/>
          <w:u w:val="none"/>
          <w14:textFill>
            <w14:solidFill>
              <w14:schemeClr w14:val="tx1"/>
            </w14:solidFill>
          </w14:textFill>
        </w:rPr>
        <w:t xml:space="preserve"> </w:t>
      </w:r>
    </w:p>
    <w:p w14:paraId="65B12C3E">
      <w:pPr>
        <w:spacing w:line="240" w:lineRule="auto"/>
        <w:ind w:firstLine="2100" w:firstLineChars="700"/>
        <w:rPr>
          <w:rFonts w:hint="default" w:ascii="宋体" w:hAnsi="宋体" w:eastAsia="宋体" w:cs="宋体"/>
          <w:color w:val="000000" w:themeColor="text1"/>
          <w:sz w:val="30"/>
          <w:szCs w:val="30"/>
          <w:lang w:val="en-US" w:eastAsia="zh-CN"/>
          <w14:textFill>
            <w14:solidFill>
              <w14:schemeClr w14:val="tx1"/>
            </w14:solidFill>
          </w14:textFill>
        </w:rPr>
      </w:pPr>
      <w:r>
        <w:rPr>
          <w:rFonts w:hint="eastAsia" w:ascii="宋体" w:hAnsi="宋体" w:eastAsia="宋体" w:cs="宋体"/>
          <w:color w:val="000000" w:themeColor="text1"/>
          <w:sz w:val="30"/>
          <w:szCs w:val="30"/>
          <w:lang w:eastAsia="zh-CN"/>
          <w14:textFill>
            <w14:solidFill>
              <w14:schemeClr w14:val="tx1"/>
            </w14:solidFill>
          </w14:textFill>
        </w:rPr>
        <w:drawing>
          <wp:anchor distT="0" distB="0" distL="114300" distR="114300" simplePos="0" relativeHeight="251664384" behindDoc="0" locked="0" layoutInCell="1" allowOverlap="1">
            <wp:simplePos x="0" y="0"/>
            <wp:positionH relativeFrom="column">
              <wp:posOffset>4772660</wp:posOffset>
            </wp:positionH>
            <wp:positionV relativeFrom="paragraph">
              <wp:posOffset>-264160</wp:posOffset>
            </wp:positionV>
            <wp:extent cx="382270" cy="942340"/>
            <wp:effectExtent l="0" t="0" r="10160" b="17780"/>
            <wp:wrapNone/>
            <wp:docPr id="6" name="图片 6" descr="陈罕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陈罕颖"/>
                    <pic:cNvPicPr>
                      <a:picLocks noChangeAspect="1"/>
                    </pic:cNvPicPr>
                  </pic:nvPicPr>
                  <pic:blipFill>
                    <a:blip r:embed="rId10"/>
                    <a:stretch>
                      <a:fillRect/>
                    </a:stretch>
                  </pic:blipFill>
                  <pic:spPr>
                    <a:xfrm rot="16200000">
                      <a:off x="0" y="0"/>
                      <a:ext cx="382270" cy="942340"/>
                    </a:xfrm>
                    <a:prstGeom prst="rect">
                      <a:avLst/>
                    </a:prstGeom>
                  </pic:spPr>
                </pic:pic>
              </a:graphicData>
            </a:graphic>
          </wp:anchor>
        </w:drawing>
      </w:r>
      <w:r>
        <w:rPr>
          <w:rFonts w:hint="eastAsia" w:ascii="宋体" w:hAnsi="宋体" w:cs="宋体"/>
          <w:color w:val="000000" w:themeColor="text1"/>
          <w:sz w:val="30"/>
          <w:szCs w:val="30"/>
          <w14:textFill>
            <w14:solidFill>
              <w14:schemeClr w14:val="tx1"/>
            </w14:solidFill>
          </w14:textFill>
        </w:rPr>
        <w:t xml:space="preserve">        结构专业负责人：</w:t>
      </w:r>
      <w:r>
        <w:rPr>
          <w:rFonts w:hint="eastAsia" w:ascii="宋体" w:hAnsi="宋体" w:cs="宋体"/>
          <w:color w:val="000000" w:themeColor="text1"/>
          <w:sz w:val="30"/>
          <w:szCs w:val="30"/>
          <w:lang w:val="en-US" w:eastAsia="zh-CN"/>
          <w14:textFill>
            <w14:solidFill>
              <w14:schemeClr w14:val="tx1"/>
            </w14:solidFill>
          </w14:textFill>
        </w:rPr>
        <w:t>陈罕颖</w:t>
      </w:r>
    </w:p>
    <w:p w14:paraId="675E6887">
      <w:pPr>
        <w:spacing w:line="240" w:lineRule="auto"/>
        <w:ind w:firstLine="1890" w:firstLineChars="900"/>
        <w:rPr>
          <w:rFonts w:hint="default" w:ascii="宋体" w:hAnsi="宋体" w:eastAsia="宋体" w:cs="宋体"/>
          <w:color w:val="000000" w:themeColor="text1"/>
          <w:sz w:val="30"/>
          <w:szCs w:val="30"/>
          <w:lang w:val="en-US" w:eastAsia="zh-CN"/>
          <w14:textFill>
            <w14:solidFill>
              <w14:schemeClr w14:val="tx1"/>
            </w14:solidFill>
          </w14:textFill>
        </w:rPr>
      </w:pPr>
      <w:r>
        <w:drawing>
          <wp:anchor distT="0" distB="0" distL="114300" distR="114300" simplePos="0" relativeHeight="251661312" behindDoc="0" locked="0" layoutInCell="1" allowOverlap="1">
            <wp:simplePos x="0" y="0"/>
            <wp:positionH relativeFrom="column">
              <wp:posOffset>4562475</wp:posOffset>
            </wp:positionH>
            <wp:positionV relativeFrom="paragraph">
              <wp:posOffset>75565</wp:posOffset>
            </wp:positionV>
            <wp:extent cx="696595" cy="386715"/>
            <wp:effectExtent l="0" t="0" r="8255" b="13335"/>
            <wp:wrapNone/>
            <wp:docPr id="3" name="图片 1" descr="F:/工作文件/章/签名/何伶俐.png何伶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F:/工作文件/章/签名/何伶俐.png何伶俐"/>
                    <pic:cNvPicPr>
                      <a:picLocks noChangeAspect="1"/>
                    </pic:cNvPicPr>
                  </pic:nvPicPr>
                  <pic:blipFill>
                    <a:blip r:embed="rId11"/>
                    <a:srcRect l="11330" r="11330"/>
                    <a:stretch>
                      <a:fillRect/>
                    </a:stretch>
                  </pic:blipFill>
                  <pic:spPr>
                    <a:xfrm>
                      <a:off x="0" y="0"/>
                      <a:ext cx="696595" cy="38671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4503420</wp:posOffset>
            </wp:positionH>
            <wp:positionV relativeFrom="paragraph">
              <wp:posOffset>386715</wp:posOffset>
            </wp:positionV>
            <wp:extent cx="696595" cy="386715"/>
            <wp:effectExtent l="0" t="0" r="8255" b="13335"/>
            <wp:wrapNone/>
            <wp:docPr id="4" name="图片 1" descr="F:/工作文件/章/签名/吕飞娟.png吕飞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F:/工作文件/章/签名/吕飞娟.png吕飞娟"/>
                    <pic:cNvPicPr>
                      <a:picLocks noChangeAspect="1"/>
                    </pic:cNvPicPr>
                  </pic:nvPicPr>
                  <pic:blipFill>
                    <a:blip r:embed="rId12"/>
                    <a:srcRect l="10920" r="10920"/>
                    <a:stretch>
                      <a:fillRect/>
                    </a:stretch>
                  </pic:blipFill>
                  <pic:spPr>
                    <a:xfrm>
                      <a:off x="0" y="0"/>
                      <a:ext cx="696595" cy="386715"/>
                    </a:xfrm>
                    <a:prstGeom prst="rect">
                      <a:avLst/>
                    </a:prstGeom>
                    <a:noFill/>
                    <a:ln>
                      <a:noFill/>
                    </a:ln>
                  </pic:spPr>
                </pic:pic>
              </a:graphicData>
            </a:graphic>
          </wp:anchor>
        </w:drawing>
      </w:r>
      <w:r>
        <w:rPr>
          <w:rFonts w:hint="eastAsia" w:ascii="宋体" w:hAnsi="宋体" w:cs="宋体"/>
          <w:color w:val="000000" w:themeColor="text1"/>
          <w:sz w:val="30"/>
          <w:szCs w:val="30"/>
          <w14:textFill>
            <w14:solidFill>
              <w14:schemeClr w14:val="tx1"/>
            </w14:solidFill>
          </w14:textFill>
        </w:rPr>
        <w:t xml:space="preserve">   </w:t>
      </w:r>
      <w:r>
        <w:rPr>
          <w:rFonts w:hint="eastAsia" w:ascii="宋体" w:hAnsi="宋体" w:cs="宋体"/>
          <w:color w:val="000000" w:themeColor="text1"/>
          <w:sz w:val="30"/>
          <w:szCs w:val="30"/>
          <w:lang w:val="en-US" w:eastAsia="zh-CN"/>
          <w14:textFill>
            <w14:solidFill>
              <w14:schemeClr w14:val="tx1"/>
            </w14:solidFill>
          </w14:textFill>
        </w:rPr>
        <w:t xml:space="preserve">   </w:t>
      </w:r>
      <w:r>
        <w:rPr>
          <w:rFonts w:hint="eastAsia" w:ascii="宋体" w:hAnsi="宋体" w:cs="宋体"/>
          <w:color w:val="000000" w:themeColor="text1"/>
          <w:sz w:val="30"/>
          <w:szCs w:val="30"/>
          <w14:textFill>
            <w14:solidFill>
              <w14:schemeClr w14:val="tx1"/>
            </w14:solidFill>
          </w14:textFill>
        </w:rPr>
        <w:t xml:space="preserve"> </w:t>
      </w:r>
      <w:r>
        <w:rPr>
          <w:rFonts w:hint="eastAsia" w:ascii="宋体" w:hAnsi="宋体" w:cs="宋体"/>
          <w:color w:val="000000" w:themeColor="text1"/>
          <w:sz w:val="30"/>
          <w:szCs w:val="30"/>
          <w:lang w:val="en-US" w:eastAsia="zh-CN"/>
          <w14:textFill>
            <w14:solidFill>
              <w14:schemeClr w14:val="tx1"/>
            </w14:solidFill>
          </w14:textFill>
        </w:rPr>
        <w:t xml:space="preserve">  </w:t>
      </w:r>
      <w:r>
        <w:rPr>
          <w:rFonts w:hint="eastAsia" w:ascii="宋体" w:hAnsi="宋体" w:cs="宋体"/>
          <w:color w:val="000000" w:themeColor="text1"/>
          <w:sz w:val="30"/>
          <w:szCs w:val="30"/>
          <w14:textFill>
            <w14:solidFill>
              <w14:schemeClr w14:val="tx1"/>
            </w14:solidFill>
          </w14:textFill>
        </w:rPr>
        <w:t>给排水专业负责人：</w:t>
      </w:r>
      <w:r>
        <w:rPr>
          <w:rFonts w:hint="eastAsia" w:ascii="宋体" w:hAnsi="宋体" w:cs="宋体"/>
          <w:color w:val="000000" w:themeColor="text1"/>
          <w:sz w:val="30"/>
          <w:szCs w:val="30"/>
          <w:lang w:val="en-US" w:eastAsia="zh-CN"/>
          <w14:textFill>
            <w14:solidFill>
              <w14:schemeClr w14:val="tx1"/>
            </w14:solidFill>
          </w14:textFill>
        </w:rPr>
        <w:t>何伶俐</w:t>
      </w:r>
    </w:p>
    <w:p w14:paraId="06C5CAC3">
      <w:pPr>
        <w:spacing w:line="240" w:lineRule="auto"/>
        <w:ind w:left="3287" w:leftChars="994" w:hanging="1200" w:hangingChars="400"/>
        <w:rPr>
          <w:rFonts w:hint="default" w:ascii="宋体" w:hAnsi="宋体" w:eastAsia="宋体" w:cs="宋体"/>
          <w:color w:val="000000" w:themeColor="text1"/>
          <w:sz w:val="30"/>
          <w:szCs w:val="30"/>
          <w:lang w:val="en-US" w:eastAsia="zh-CN"/>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 xml:space="preserve">        电气专业负责人： </w:t>
      </w:r>
      <w:r>
        <w:rPr>
          <w:rFonts w:hint="eastAsia" w:ascii="宋体" w:hAnsi="宋体" w:cs="宋体"/>
          <w:color w:val="000000" w:themeColor="text1"/>
          <w:sz w:val="30"/>
          <w:szCs w:val="30"/>
          <w:lang w:val="en-US" w:eastAsia="zh-CN"/>
          <w14:textFill>
            <w14:solidFill>
              <w14:schemeClr w14:val="tx1"/>
            </w14:solidFill>
          </w14:textFill>
        </w:rPr>
        <w:t>吕飞娟</w:t>
      </w:r>
      <w:r>
        <w:rPr>
          <w:rFonts w:hint="eastAsia" w:ascii="宋体" w:hAnsi="宋体" w:cs="宋体"/>
          <w:color w:val="000000" w:themeColor="text1"/>
          <w:sz w:val="30"/>
          <w:szCs w:val="30"/>
          <w:lang w:val="en-US" w:eastAsia="zh-CN"/>
          <w14:textFill>
            <w14:solidFill>
              <w14:schemeClr w14:val="tx1"/>
            </w14:solidFill>
          </w14:textFill>
        </w:rPr>
        <w:br w:type="textWrapping"/>
      </w:r>
    </w:p>
    <w:p w14:paraId="39CBB798">
      <w:pPr>
        <w:pStyle w:val="2"/>
        <w:spacing w:line="360" w:lineRule="auto"/>
        <w:ind w:left="0" w:leftChars="0" w:firstLine="0" w:firstLineChars="0"/>
        <w:rPr>
          <w:rFonts w:ascii="宋体" w:hAnsi="宋体" w:cs="宋体"/>
          <w:color w:val="000000" w:themeColor="text1"/>
          <w:kern w:val="2"/>
          <w:sz w:val="32"/>
          <w:szCs w:val="32"/>
          <w14:textFill>
            <w14:solidFill>
              <w14:schemeClr w14:val="tx1"/>
            </w14:solidFill>
          </w14:textFill>
        </w:rPr>
      </w:pPr>
    </w:p>
    <w:p w14:paraId="17AEB798">
      <w:pPr>
        <w:spacing w:line="360" w:lineRule="auto"/>
        <w:ind w:firstLine="1280" w:firstLineChars="400"/>
        <w:rPr>
          <w:rFonts w:hint="eastAsia" w:ascii="宋体" w:hAnsi="宋体" w:eastAsia="宋体" w:cs="宋体"/>
          <w:color w:val="000000" w:themeColor="text1"/>
          <w:sz w:val="32"/>
          <w:szCs w:val="32"/>
          <w:lang w:eastAsia="zh-CN"/>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建设单位：</w:t>
      </w:r>
      <w:r>
        <w:rPr>
          <w:rFonts w:hint="eastAsia" w:ascii="宋体" w:hAnsi="宋体" w:cs="宋体"/>
          <w:color w:val="000000" w:themeColor="text1"/>
          <w:sz w:val="32"/>
          <w:szCs w:val="32"/>
          <w:lang w:eastAsia="zh-CN"/>
          <w14:textFill>
            <w14:solidFill>
              <w14:schemeClr w14:val="tx1"/>
            </w14:solidFill>
          </w14:textFill>
        </w:rPr>
        <w:t>江华瑶族自治县沱江镇人民政府</w:t>
      </w:r>
    </w:p>
    <w:p w14:paraId="0CAAF9B8">
      <w:pPr>
        <w:spacing w:line="360" w:lineRule="auto"/>
        <w:ind w:firstLine="1280" w:firstLineChars="400"/>
        <w:rPr>
          <w:rFonts w:hint="default" w:ascii="宋体" w:hAnsi="宋体" w:eastAsia="宋体" w:cs="宋体"/>
          <w:color w:val="000000" w:themeColor="text1"/>
          <w:sz w:val="32"/>
          <w:szCs w:val="32"/>
          <w:lang w:val="en-US" w:eastAsia="zh-CN"/>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设计单位：</w:t>
      </w:r>
      <w:r>
        <w:rPr>
          <w:rFonts w:hint="eastAsia" w:ascii="宋体" w:hAnsi="宋体" w:cs="宋体"/>
          <w:color w:val="000000" w:themeColor="text1"/>
          <w:sz w:val="32"/>
          <w:szCs w:val="32"/>
          <w:lang w:val="en-US" w:eastAsia="zh-CN"/>
          <w14:textFill>
            <w14:solidFill>
              <w14:schemeClr w14:val="tx1"/>
            </w14:solidFill>
          </w14:textFill>
        </w:rPr>
        <w:t>湖南红日建筑设计有限公司</w:t>
      </w:r>
    </w:p>
    <w:p w14:paraId="09DE1BDF">
      <w:pPr>
        <w:spacing w:line="360" w:lineRule="auto"/>
        <w:ind w:firstLine="1280" w:firstLineChars="400"/>
        <w:jc w:val="lef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出图时间：2024年</w:t>
      </w:r>
      <w:r>
        <w:rPr>
          <w:rFonts w:hint="eastAsia" w:ascii="宋体" w:hAnsi="宋体" w:cs="宋体"/>
          <w:color w:val="000000" w:themeColor="text1"/>
          <w:sz w:val="32"/>
          <w:szCs w:val="32"/>
          <w:lang w:val="en-US" w:eastAsia="zh-CN"/>
          <w14:textFill>
            <w14:solidFill>
              <w14:schemeClr w14:val="tx1"/>
            </w14:solidFill>
          </w14:textFill>
        </w:rPr>
        <w:t>10</w:t>
      </w:r>
      <w:r>
        <w:rPr>
          <w:rFonts w:hint="eastAsia" w:ascii="宋体" w:hAnsi="宋体" w:cs="宋体"/>
          <w:color w:val="000000" w:themeColor="text1"/>
          <w:sz w:val="32"/>
          <w:szCs w:val="32"/>
          <w14:textFill>
            <w14:solidFill>
              <w14:schemeClr w14:val="tx1"/>
            </w14:solidFill>
          </w14:textFill>
        </w:rPr>
        <w:t>月</w:t>
      </w:r>
    </w:p>
    <w:p w14:paraId="4AF5CA74">
      <w:pPr>
        <w:spacing w:line="360" w:lineRule="auto"/>
        <w:ind w:firstLine="1280" w:firstLineChars="400"/>
        <w:jc w:val="left"/>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工程设计证书等级：建筑工程甲级</w:t>
      </w:r>
    </w:p>
    <w:p w14:paraId="27DFB65C">
      <w:pPr>
        <w:spacing w:line="360" w:lineRule="auto"/>
        <w:ind w:firstLine="1280" w:firstLineChars="400"/>
        <w:jc w:val="left"/>
        <w:rPr>
          <w:rFonts w:ascii="宋体" w:hAnsi="宋体" w:cs="宋体"/>
          <w:b/>
          <w:color w:val="000000" w:themeColor="text1"/>
          <w:sz w:val="36"/>
          <w:szCs w:val="36"/>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设计证书甲级编号：A143007368</w:t>
      </w:r>
    </w:p>
    <w:p w14:paraId="06FD8A6A">
      <w:pPr>
        <w:spacing w:line="360" w:lineRule="auto"/>
        <w:jc w:val="center"/>
        <w:rPr>
          <w:rFonts w:ascii="宋体" w:hAnsi="宋体" w:cs="宋体"/>
          <w:b/>
          <w:color w:val="000000" w:themeColor="text1"/>
          <w:sz w:val="36"/>
          <w:szCs w:val="36"/>
          <w14:textFill>
            <w14:solidFill>
              <w14:schemeClr w14:val="tx1"/>
            </w14:solidFill>
          </w14:textFill>
        </w:rPr>
      </w:pPr>
      <w:r>
        <w:rPr>
          <w:rFonts w:hint="eastAsia" w:ascii="宋体" w:hAnsi="宋体" w:cs="宋体"/>
          <w:b/>
          <w:color w:val="000000" w:themeColor="text1"/>
          <w:sz w:val="36"/>
          <w:szCs w:val="36"/>
          <w14:textFill>
            <w14:solidFill>
              <w14:schemeClr w14:val="tx1"/>
            </w14:solidFill>
          </w14:textFill>
        </w:rPr>
        <w:t>消防设计文件目录</w:t>
      </w:r>
    </w:p>
    <w:p w14:paraId="5D5CA731">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一、设计说明书</w:t>
      </w:r>
    </w:p>
    <w:p w14:paraId="6CC8AB35">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工程设计依据</w:t>
      </w:r>
    </w:p>
    <w:p w14:paraId="64017DCF">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建设规模和设计范围</w:t>
      </w:r>
    </w:p>
    <w:p w14:paraId="23B8802D">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总指标</w:t>
      </w:r>
    </w:p>
    <w:p w14:paraId="0308729E">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采用新技术、新工艺、新材料、新设备和新结构的情况</w:t>
      </w:r>
    </w:p>
    <w:p w14:paraId="46E7B79D">
      <w:pPr>
        <w:numPr>
          <w:ilvl w:val="0"/>
          <w:numId w:val="2"/>
        </w:num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具有特殊火灾危险性的消防设计和需要设计审批解决或确定的问题</w:t>
      </w:r>
    </w:p>
    <w:p w14:paraId="733E0C48">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总平面 </w:t>
      </w:r>
    </w:p>
    <w:p w14:paraId="0F8D6BAA">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建筑</w:t>
      </w:r>
    </w:p>
    <w:p w14:paraId="05743052">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结构</w:t>
      </w:r>
    </w:p>
    <w:p w14:paraId="631D6E09">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电气消防设计</w:t>
      </w:r>
    </w:p>
    <w:p w14:paraId="07C8113C">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消防给水及灭火设施 </w:t>
      </w:r>
    </w:p>
    <w:p w14:paraId="747222A3">
      <w:pPr>
        <w:numPr>
          <w:ilvl w:val="0"/>
          <w:numId w:val="2"/>
        </w:num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防排烟、通风系统消防设计</w:t>
      </w:r>
    </w:p>
    <w:p w14:paraId="2C478628">
      <w:pPr>
        <w:pStyle w:val="2"/>
        <w:spacing w:line="360" w:lineRule="auto"/>
        <w:ind w:left="0" w:leftChars="0" w:firstLine="0" w:firstLineChars="0"/>
        <w:rPr>
          <w:rFonts w:ascii="宋体" w:hAnsi="宋体" w:cs="宋体"/>
          <w:color w:val="000000" w:themeColor="text1"/>
          <w:szCs w:val="24"/>
          <w14:textFill>
            <w14:solidFill>
              <w14:schemeClr w14:val="tx1"/>
            </w14:solidFill>
          </w14:textFill>
        </w:rPr>
      </w:pPr>
    </w:p>
    <w:p w14:paraId="16AC3848">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二、设计图纸</w:t>
      </w:r>
    </w:p>
    <w:p w14:paraId="7D1D5EC5">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 建筑专业设计图纸</w:t>
      </w:r>
    </w:p>
    <w:p w14:paraId="51D69F90">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 结构专业设计图纸</w:t>
      </w:r>
    </w:p>
    <w:p w14:paraId="02F59E93">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 给排水专业设计图纸</w:t>
      </w:r>
    </w:p>
    <w:p w14:paraId="7C4F0F01">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 电气专业设计图纸</w:t>
      </w:r>
    </w:p>
    <w:p w14:paraId="1CE33740">
      <w:pPr>
        <w:pStyle w:val="2"/>
        <w:spacing w:line="360" w:lineRule="auto"/>
        <w:ind w:firstLine="480"/>
        <w:rPr>
          <w:rFonts w:ascii="宋体" w:hAnsi="宋体" w:cs="宋体"/>
          <w:color w:val="000000" w:themeColor="text1"/>
          <w:szCs w:val="24"/>
          <w14:textFill>
            <w14:solidFill>
              <w14:schemeClr w14:val="tx1"/>
            </w14:solidFill>
          </w14:textFill>
        </w:rPr>
      </w:pPr>
    </w:p>
    <w:p w14:paraId="17A34108">
      <w:pPr>
        <w:pStyle w:val="2"/>
        <w:spacing w:line="360" w:lineRule="auto"/>
        <w:ind w:firstLine="480"/>
        <w:rPr>
          <w:rFonts w:ascii="宋体" w:hAnsi="宋体" w:cs="宋体"/>
          <w:color w:val="000000" w:themeColor="text1"/>
          <w:szCs w:val="24"/>
          <w14:textFill>
            <w14:solidFill>
              <w14:schemeClr w14:val="tx1"/>
            </w14:solidFill>
          </w14:textFill>
        </w:rPr>
      </w:pPr>
    </w:p>
    <w:p w14:paraId="063D5532">
      <w:pPr>
        <w:pStyle w:val="2"/>
        <w:spacing w:line="360" w:lineRule="auto"/>
        <w:ind w:firstLine="480"/>
        <w:rPr>
          <w:rFonts w:ascii="宋体" w:hAnsi="宋体" w:cs="宋体"/>
          <w:color w:val="000000" w:themeColor="text1"/>
          <w:szCs w:val="24"/>
          <w14:textFill>
            <w14:solidFill>
              <w14:schemeClr w14:val="tx1"/>
            </w14:solidFill>
          </w14:textFill>
        </w:rPr>
      </w:pPr>
    </w:p>
    <w:p w14:paraId="1E38DF4A">
      <w:pPr>
        <w:pStyle w:val="2"/>
        <w:spacing w:line="360" w:lineRule="auto"/>
        <w:ind w:firstLine="480"/>
        <w:rPr>
          <w:rFonts w:ascii="宋体" w:hAnsi="宋体" w:cs="宋体"/>
          <w:color w:val="000000" w:themeColor="text1"/>
          <w:szCs w:val="24"/>
          <w14:textFill>
            <w14:solidFill>
              <w14:schemeClr w14:val="tx1"/>
            </w14:solidFill>
          </w14:textFill>
        </w:rPr>
      </w:pPr>
    </w:p>
    <w:p w14:paraId="07CC57C7">
      <w:pPr>
        <w:pStyle w:val="2"/>
        <w:spacing w:line="360" w:lineRule="auto"/>
        <w:ind w:firstLine="480"/>
        <w:rPr>
          <w:rFonts w:ascii="宋体" w:hAnsi="宋体" w:cs="宋体"/>
          <w:color w:val="000000" w:themeColor="text1"/>
          <w:szCs w:val="24"/>
          <w14:textFill>
            <w14:solidFill>
              <w14:schemeClr w14:val="tx1"/>
            </w14:solidFill>
          </w14:textFill>
        </w:rPr>
      </w:pPr>
    </w:p>
    <w:p w14:paraId="36586D75">
      <w:pPr>
        <w:pStyle w:val="2"/>
        <w:spacing w:line="360" w:lineRule="auto"/>
        <w:ind w:firstLine="480"/>
        <w:rPr>
          <w:rFonts w:ascii="宋体" w:hAnsi="宋体" w:cs="宋体"/>
          <w:color w:val="000000" w:themeColor="text1"/>
          <w:szCs w:val="24"/>
          <w14:textFill>
            <w14:solidFill>
              <w14:schemeClr w14:val="tx1"/>
            </w14:solidFill>
          </w14:textFill>
        </w:rPr>
      </w:pPr>
    </w:p>
    <w:p w14:paraId="6CA60748">
      <w:pPr>
        <w:pStyle w:val="2"/>
        <w:spacing w:line="360" w:lineRule="auto"/>
        <w:ind w:firstLine="480"/>
        <w:rPr>
          <w:rFonts w:ascii="宋体" w:hAnsi="宋体" w:cs="宋体"/>
          <w:color w:val="000000" w:themeColor="text1"/>
          <w:szCs w:val="24"/>
          <w14:textFill>
            <w14:solidFill>
              <w14:schemeClr w14:val="tx1"/>
            </w14:solidFill>
          </w14:textFill>
        </w:rPr>
      </w:pPr>
    </w:p>
    <w:p w14:paraId="2A1464B4">
      <w:pPr>
        <w:spacing w:line="360" w:lineRule="auto"/>
        <w:rPr>
          <w:rFonts w:ascii="宋体" w:hAnsi="宋体" w:cs="宋体"/>
          <w:b/>
          <w:color w:val="000000" w:themeColor="text1"/>
          <w:kern w:val="0"/>
          <w:sz w:val="36"/>
          <w:szCs w:val="36"/>
          <w14:textFill>
            <w14:solidFill>
              <w14:schemeClr w14:val="tx1"/>
            </w14:solidFill>
          </w14:textFill>
        </w:rPr>
      </w:pPr>
    </w:p>
    <w:p w14:paraId="6755E5E6">
      <w:pPr>
        <w:spacing w:line="360" w:lineRule="auto"/>
        <w:jc w:val="center"/>
        <w:rPr>
          <w:rFonts w:ascii="宋体" w:hAnsi="宋体" w:cs="宋体"/>
          <w:b/>
          <w:color w:val="000000" w:themeColor="text1"/>
          <w:sz w:val="36"/>
          <w14:textFill>
            <w14:solidFill>
              <w14:schemeClr w14:val="tx1"/>
            </w14:solidFill>
          </w14:textFill>
        </w:rPr>
      </w:pPr>
      <w:r>
        <w:rPr>
          <w:rFonts w:hint="eastAsia" w:ascii="宋体" w:hAnsi="宋体" w:cs="宋体"/>
          <w:b/>
          <w:color w:val="000000" w:themeColor="text1"/>
          <w:sz w:val="36"/>
          <w14:textFill>
            <w14:solidFill>
              <w14:schemeClr w14:val="tx1"/>
            </w14:solidFill>
          </w14:textFill>
        </w:rPr>
        <w:t>消防设计说明书</w:t>
      </w:r>
    </w:p>
    <w:p w14:paraId="0D6574A0">
      <w:pPr>
        <w:pStyle w:val="2"/>
        <w:spacing w:line="360" w:lineRule="auto"/>
        <w:ind w:left="0" w:leftChars="0" w:firstLine="0" w:firstLineChars="0"/>
        <w:rPr>
          <w:rFonts w:ascii="宋体" w:hAnsi="宋体" w:cs="宋体"/>
          <w:b/>
          <w:color w:val="000000" w:themeColor="text1"/>
          <w:sz w:val="36"/>
          <w14:textFill>
            <w14:solidFill>
              <w14:schemeClr w14:val="tx1"/>
            </w14:solidFill>
          </w14:textFill>
        </w:rPr>
      </w:pPr>
    </w:p>
    <w:p w14:paraId="546E5919">
      <w:pPr>
        <w:autoSpaceDE w:val="0"/>
        <w:autoSpaceDN w:val="0"/>
        <w:adjustRightInd w:val="0"/>
        <w:spacing w:line="360" w:lineRule="auto"/>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1、工程设计依据</w:t>
      </w:r>
    </w:p>
    <w:p w14:paraId="56C6C3FA">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 本工程设计所遵照的规范和标准</w:t>
      </w:r>
    </w:p>
    <w:p w14:paraId="1E3F337A">
      <w:pPr>
        <w:autoSpaceDE w:val="0"/>
        <w:autoSpaceDN w:val="0"/>
        <w:adjustRightIn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1)、中华人民共和国《工程建设标准强制性条文》（房屋建筑部分）（2013版）</w:t>
      </w:r>
    </w:p>
    <w:p w14:paraId="09435179">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2)、《建筑设计防火规范》(GB50016—2014)（2018版）</w:t>
      </w:r>
    </w:p>
    <w:p w14:paraId="2D619108">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3)、《建筑内部装修设计防火规范》(GB50222-2017 )</w:t>
      </w:r>
    </w:p>
    <w:p w14:paraId="6F394889">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)、《建筑防烟排烟系统技术标准》（GB51251-2017）</w:t>
      </w:r>
    </w:p>
    <w:p w14:paraId="40298167">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)、《民用建筑电气设计标准》（GB51348-2019）</w:t>
      </w:r>
    </w:p>
    <w:p w14:paraId="74D42176">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)、《火灾自动报警系统设计规范》(GB50116-2013)</w:t>
      </w:r>
    </w:p>
    <w:p w14:paraId="2B490958">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)、《自动喷水灭火系统设计规范》 (GB50084-2017)</w:t>
      </w:r>
    </w:p>
    <w:p w14:paraId="1B8B23DF">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)、《建筑灭火器配置设计规范》(GB50140-2005)</w:t>
      </w:r>
    </w:p>
    <w:p w14:paraId="0A238DF5">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)、《民用建筑供暖通风与空气调节设计规范》（GB50736-2012）</w:t>
      </w:r>
    </w:p>
    <w:p w14:paraId="6A2E2743">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)、《消防给水及消火栓系统技术规范》（GB50974-2014）</w:t>
      </w:r>
    </w:p>
    <w:p w14:paraId="1B2D2997">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）、《消防设施通用规范》GB55036-2022</w:t>
      </w:r>
    </w:p>
    <w:p w14:paraId="246234AF">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 xml:space="preserve">《建筑环境通用规范》GB 55016-2021 </w:t>
      </w:r>
    </w:p>
    <w:p w14:paraId="070C689E">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 xml:space="preserve">）、《建筑防火通用规范》GB 55037-2022   </w:t>
      </w:r>
    </w:p>
    <w:p w14:paraId="66B9B2BC">
      <w:pPr>
        <w:autoSpaceDE w:val="0"/>
        <w:autoSpaceDN w:val="0"/>
        <w:adjustRightInd w:val="0"/>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14</w:t>
      </w:r>
      <w:r>
        <w:rPr>
          <w:rFonts w:hint="eastAsia" w:ascii="宋体" w:hAnsi="宋体" w:cs="宋体"/>
          <w:color w:val="000000" w:themeColor="text1"/>
          <w:sz w:val="24"/>
          <w14:textFill>
            <w14:solidFill>
              <w14:schemeClr w14:val="tx1"/>
            </w14:solidFill>
          </w14:textFill>
        </w:rPr>
        <w:t>）、《民用建筑通用规范》GB 55031-2022</w:t>
      </w:r>
    </w:p>
    <w:p w14:paraId="345C703E">
      <w:pPr>
        <w:autoSpaceDE w:val="0"/>
        <w:autoSpaceDN w:val="0"/>
        <w:adjustRightInd w:val="0"/>
        <w:spacing w:line="360" w:lineRule="auto"/>
        <w:jc w:val="left"/>
        <w:rPr>
          <w:color w:val="000000" w:themeColor="text1"/>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）、《建筑节能与可再生能源利用通用规范 》（GB 55015-2021）</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lang w:val="en-US" w:eastAsia="zh-CN"/>
          <w14:textFill>
            <w14:solidFill>
              <w14:schemeClr w14:val="tx1"/>
            </w14:solidFill>
          </w14:textFill>
        </w:rPr>
        <w:t>16</w:t>
      </w:r>
      <w:r>
        <w:rPr>
          <w:rFonts w:hint="eastAsia" w:ascii="宋体" w:hAnsi="宋体" w:cs="宋体"/>
          <w:color w:val="000000" w:themeColor="text1"/>
          <w:sz w:val="24"/>
          <w14:textFill>
            <w14:solidFill>
              <w14:schemeClr w14:val="tx1"/>
            </w14:solidFill>
          </w14:textFill>
        </w:rPr>
        <w:t>）、《钢结构防火涂料》 GB 14907-2018</w:t>
      </w:r>
      <w:r>
        <w:rPr>
          <w:rFonts w:hint="eastAsia" w:ascii="宋体" w:hAnsi="宋体" w:cs="宋体"/>
          <w:color w:val="000000" w:themeColor="text1"/>
          <w:sz w:val="24"/>
          <w14:textFill>
            <w14:solidFill>
              <w14:schemeClr w14:val="tx1"/>
            </w14:solidFill>
          </w14:textFill>
        </w:rPr>
        <w:br w:type="textWrapping"/>
      </w:r>
      <w:r>
        <w:rPr>
          <w:rFonts w:hint="eastAsia" w:ascii="宋体" w:hAnsi="宋体" w:cs="宋体"/>
          <w:color w:val="000000" w:themeColor="text1"/>
          <w:sz w:val="24"/>
          <w:lang w:val="en-US" w:eastAsia="zh-CN"/>
          <w14:textFill>
            <w14:solidFill>
              <w14:schemeClr w14:val="tx1"/>
            </w14:solidFill>
          </w14:textFill>
        </w:rPr>
        <w:t>17</w:t>
      </w:r>
      <w:r>
        <w:rPr>
          <w:rFonts w:hint="eastAsia" w:ascii="宋体" w:hAnsi="宋体" w:cs="宋体"/>
          <w:color w:val="000000" w:themeColor="text1"/>
          <w:sz w:val="24"/>
          <w14:textFill>
            <w14:solidFill>
              <w14:schemeClr w14:val="tx1"/>
            </w14:solidFill>
          </w14:textFill>
        </w:rPr>
        <w:t>）、《建筑钢结构防火技术规范》 GB 51249-2017</w:t>
      </w:r>
    </w:p>
    <w:p w14:paraId="3C1B04AA">
      <w:pPr>
        <w:pStyle w:val="2"/>
        <w:spacing w:line="360" w:lineRule="auto"/>
        <w:ind w:left="0" w:leftChars="0" w:firstLine="0" w:firstLineChars="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1.2、 建设方提供的其他设计参数及资料</w:t>
      </w:r>
    </w:p>
    <w:p w14:paraId="3AFE8B51">
      <w:pPr>
        <w:pStyle w:val="2"/>
        <w:spacing w:line="360" w:lineRule="auto"/>
        <w:ind w:left="720" w:leftChars="0" w:hanging="720" w:hangingChars="3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1.3、 中华人民共和国住房和城乡建设部令第51号《建设工程消防设计审查验收管理暂行规定》《建设工程消防设计审查验收工作细则》</w:t>
      </w:r>
    </w:p>
    <w:p w14:paraId="3D8CAF62">
      <w:pPr>
        <w:pStyle w:val="2"/>
        <w:spacing w:line="360" w:lineRule="auto"/>
        <w:ind w:left="720" w:leftChars="0" w:hanging="720" w:hangingChars="300"/>
        <w:rPr>
          <w:rFonts w:hint="eastAsia" w:ascii="宋体" w:hAnsi="宋体" w:cs="宋体"/>
          <w:color w:val="000000" w:themeColor="text1"/>
          <w14:textFill>
            <w14:solidFill>
              <w14:schemeClr w14:val="tx1"/>
            </w14:solidFill>
          </w14:textFill>
        </w:rPr>
      </w:pPr>
    </w:p>
    <w:p w14:paraId="310A25A5">
      <w:pPr>
        <w:pStyle w:val="2"/>
        <w:spacing w:line="360" w:lineRule="auto"/>
        <w:ind w:left="720" w:leftChars="0" w:hanging="720" w:hangingChars="300"/>
        <w:rPr>
          <w:rFonts w:hint="eastAsia" w:ascii="宋体" w:hAnsi="宋体" w:cs="宋体"/>
          <w:color w:val="000000" w:themeColor="text1"/>
          <w14:textFill>
            <w14:solidFill>
              <w14:schemeClr w14:val="tx1"/>
            </w14:solidFill>
          </w14:textFill>
        </w:rPr>
      </w:pPr>
    </w:p>
    <w:p w14:paraId="62162409">
      <w:pPr>
        <w:pStyle w:val="2"/>
        <w:spacing w:line="360" w:lineRule="auto"/>
        <w:ind w:left="720" w:leftChars="0" w:hanging="720" w:hangingChars="300"/>
        <w:rPr>
          <w:rFonts w:hint="eastAsia" w:ascii="宋体" w:hAnsi="宋体" w:cs="宋体"/>
          <w:color w:val="000000" w:themeColor="text1"/>
          <w14:textFill>
            <w14:solidFill>
              <w14:schemeClr w14:val="tx1"/>
            </w14:solidFill>
          </w14:textFill>
        </w:rPr>
      </w:pPr>
    </w:p>
    <w:p w14:paraId="42E45F45">
      <w:pPr>
        <w:autoSpaceDE w:val="0"/>
        <w:autoSpaceDN w:val="0"/>
        <w:adjustRightInd w:val="0"/>
        <w:spacing w:line="360" w:lineRule="auto"/>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2、建设规模和设计范围</w:t>
      </w:r>
    </w:p>
    <w:p w14:paraId="3D4FE490">
      <w:pPr>
        <w:autoSpaceDE w:val="0"/>
        <w:autoSpaceDN w:val="0"/>
        <w:adjustRightInd w:val="0"/>
        <w:spacing w:line="36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2.1 项目概况</w:t>
      </w:r>
    </w:p>
    <w:p w14:paraId="4CCE295F">
      <w:pPr>
        <w:autoSpaceDE w:val="0"/>
        <w:autoSpaceDN w:val="0"/>
        <w:adjustRightInd w:val="0"/>
        <w:spacing w:line="360" w:lineRule="auto"/>
        <w:ind w:firstLine="480" w:firstLineChars="200"/>
        <w:jc w:val="left"/>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本项目位于湖南省</w:t>
      </w:r>
      <w:r>
        <w:rPr>
          <w:rFonts w:hint="eastAsia" w:ascii="宋体" w:hAnsi="宋体" w:cs="宋体"/>
          <w:color w:val="000000" w:themeColor="text1"/>
          <w:sz w:val="24"/>
          <w:szCs w:val="24"/>
          <w:lang w:val="en-US" w:eastAsia="zh-CN"/>
          <w14:textFill>
            <w14:solidFill>
              <w14:schemeClr w14:val="tx1"/>
            </w14:solidFill>
          </w14:textFill>
        </w:rPr>
        <w:t>永州</w:t>
      </w:r>
      <w:r>
        <w:rPr>
          <w:rFonts w:hint="eastAsia" w:ascii="宋体" w:hAnsi="宋体" w:cs="宋体"/>
          <w:color w:val="000000" w:themeColor="text1"/>
          <w:sz w:val="24"/>
          <w:szCs w:val="24"/>
          <w:lang w:val="zh-CN"/>
          <w14:textFill>
            <w14:solidFill>
              <w14:schemeClr w14:val="tx1"/>
            </w14:solidFill>
          </w14:textFill>
        </w:rPr>
        <w:t>市</w:t>
      </w:r>
      <w:r>
        <w:rPr>
          <w:rFonts w:hint="eastAsia" w:ascii="宋体" w:hAnsi="宋体" w:cs="宋体"/>
          <w:color w:val="000000" w:themeColor="text1"/>
          <w:sz w:val="24"/>
          <w:szCs w:val="24"/>
          <w14:textFill>
            <w14:solidFill>
              <w14:schemeClr w14:val="tx1"/>
            </w14:solidFill>
          </w14:textFill>
        </w:rPr>
        <w:t>,</w:t>
      </w:r>
      <w:r>
        <w:rPr>
          <w:rFonts w:hint="eastAsia" w:ascii="宋体" w:hAnsi="宋体" w:cs="宋体"/>
          <w:color w:val="000000" w:themeColor="text1"/>
          <w:sz w:val="24"/>
          <w:szCs w:val="24"/>
          <w:lang w:val="zh-CN"/>
          <w14:textFill>
            <w14:solidFill>
              <w14:schemeClr w14:val="tx1"/>
            </w14:solidFill>
          </w14:textFill>
        </w:rPr>
        <w:t>总建筑面积6912.00㎡，计容建筑面积6912.00㎡，</w:t>
      </w:r>
      <w:r>
        <w:rPr>
          <w:rFonts w:hint="eastAsia" w:ascii="宋体" w:hAnsi="宋体" w:cs="宋体"/>
          <w:color w:val="000000" w:themeColor="text1"/>
          <w:sz w:val="24"/>
          <w:szCs w:val="24"/>
          <w:lang w:val="en-US" w:eastAsia="zh-CN"/>
          <w14:textFill>
            <w14:solidFill>
              <w14:schemeClr w14:val="tx1"/>
            </w14:solidFill>
          </w14:textFill>
        </w:rPr>
        <w:t>本工程生产产品为电机马达及配件无易燃易爆炸物质，本工程为单层厂房，建筑物耐火等级地上为二级，火灾危险性等级为戊类。</w:t>
      </w:r>
    </w:p>
    <w:p w14:paraId="11271C6C">
      <w:pPr>
        <w:autoSpaceDE w:val="0"/>
        <w:autoSpaceDN w:val="0"/>
        <w:adjustRightInd w:val="0"/>
        <w:spacing w:line="360" w:lineRule="auto"/>
        <w:jc w:val="left"/>
        <w:rPr>
          <w:rFonts w:ascii="宋体" w:hAnsi="宋体" w:cs="宋体"/>
          <w:b/>
          <w:bCs/>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2.2 设计范围</w:t>
      </w:r>
    </w:p>
    <w:p w14:paraId="6266E29A">
      <w:pPr>
        <w:autoSpaceDE w:val="0"/>
        <w:autoSpaceDN w:val="0"/>
        <w:adjustRightInd w:val="0"/>
        <w:spacing w:line="360" w:lineRule="auto"/>
        <w:jc w:val="left"/>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设计内容</w:t>
      </w:r>
      <w:r>
        <w:rPr>
          <w:rFonts w:hint="eastAsia" w:ascii="宋体" w:hAnsi="宋体" w:cs="宋体"/>
          <w:color w:val="000000" w:themeColor="text1"/>
          <w:sz w:val="24"/>
          <w:szCs w:val="24"/>
          <w14:textFill>
            <w14:solidFill>
              <w14:schemeClr w14:val="tx1"/>
            </w14:solidFill>
          </w14:textFill>
        </w:rPr>
        <w:t>包括建筑、结构、给排水、电气、暖通专业。</w:t>
      </w:r>
      <w:r>
        <w:rPr>
          <w:rFonts w:hint="eastAsia" w:ascii="宋体" w:hAnsi="宋体" w:cs="宋体"/>
          <w:color w:val="000000" w:themeColor="text1"/>
          <w:sz w:val="24"/>
          <w:szCs w:val="24"/>
          <w14:textFill>
            <w14:solidFill>
              <w14:schemeClr w14:val="tx1"/>
            </w14:solidFill>
          </w14:textFill>
        </w:rPr>
        <w:br w:type="textWrapping"/>
      </w:r>
      <w:r>
        <w:rPr>
          <w:rFonts w:hint="eastAsia" w:ascii="宋体" w:hAnsi="宋体" w:cs="宋体"/>
          <w:b/>
          <w:bCs/>
          <w:color w:val="000000" w:themeColor="text1"/>
          <w:sz w:val="24"/>
          <w:szCs w:val="24"/>
          <w14:textFill>
            <w14:solidFill>
              <w14:schemeClr w14:val="tx1"/>
            </w14:solidFill>
          </w14:textFill>
        </w:rPr>
        <w:t>2.</w:t>
      </w:r>
      <w:r>
        <w:rPr>
          <w:rFonts w:hint="eastAsia" w:ascii="宋体" w:hAnsi="宋体" w:cs="宋体"/>
          <w:b/>
          <w:bCs/>
          <w:color w:val="000000" w:themeColor="text1"/>
          <w:sz w:val="24"/>
          <w:szCs w:val="24"/>
          <w:lang w:val="en-US" w:eastAsia="zh-CN"/>
          <w14:textFill>
            <w14:solidFill>
              <w14:schemeClr w14:val="tx1"/>
            </w14:solidFill>
          </w14:textFill>
        </w:rPr>
        <w:t>3</w:t>
      </w:r>
      <w:r>
        <w:rPr>
          <w:rFonts w:hint="eastAsia" w:ascii="宋体" w:hAnsi="宋体" w:cs="宋体"/>
          <w:b/>
          <w:bCs/>
          <w:color w:val="000000" w:themeColor="text1"/>
          <w:sz w:val="24"/>
          <w:szCs w:val="24"/>
          <w14:textFill>
            <w14:solidFill>
              <w14:schemeClr w14:val="tx1"/>
            </w14:solidFill>
          </w14:textFill>
        </w:rPr>
        <w:t xml:space="preserve"> 工艺说明</w:t>
      </w:r>
    </w:p>
    <w:p w14:paraId="706C1282">
      <w:pPr>
        <w:autoSpaceDE w:val="0"/>
        <w:autoSpaceDN w:val="0"/>
        <w:adjustRightInd w:val="0"/>
        <w:spacing w:line="360" w:lineRule="auto"/>
        <w:jc w:val="left"/>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生产成品</w:t>
      </w:r>
      <w:r>
        <w:rPr>
          <w:rFonts w:hint="eastAsia" w:ascii="宋体" w:hAnsi="宋体" w:cs="宋体"/>
          <w:color w:val="000000" w:themeColor="text1"/>
          <w:sz w:val="24"/>
          <w:szCs w:val="24"/>
          <w:lang w:val="zh-CN"/>
          <w14:textFill>
            <w14:solidFill>
              <w14:schemeClr w14:val="tx1"/>
            </w14:solidFill>
          </w14:textFill>
        </w:rPr>
        <w:t>：马达及配件；生产工艺流程：硅钢片→冲压→绕线→组装→产品；原材料：硅钢片、铜线在生产中无易燃易爆等情况。</w:t>
      </w:r>
      <w:r>
        <w:rPr>
          <w:rFonts w:hint="eastAsia" w:ascii="宋体" w:hAnsi="宋体" w:cs="宋体"/>
          <w:color w:val="000000" w:themeColor="text1"/>
          <w:sz w:val="24"/>
          <w:szCs w:val="24"/>
          <w:lang w:val="en-US" w:eastAsia="zh-CN"/>
          <w14:textFill>
            <w14:solidFill>
              <w14:schemeClr w14:val="tx1"/>
            </w14:solidFill>
          </w14:textFill>
        </w:rPr>
        <w:t>不属于劳动密集型生产车间。</w:t>
      </w:r>
    </w:p>
    <w:p w14:paraId="6BC552C1">
      <w:pPr>
        <w:autoSpaceDE w:val="0"/>
        <w:autoSpaceDN w:val="0"/>
        <w:adjustRightInd w:val="0"/>
        <w:spacing w:line="360" w:lineRule="auto"/>
        <w:jc w:val="left"/>
        <w:rPr>
          <w:rFonts w:ascii="宋体" w:hAnsi="宋体" w:cs="宋体"/>
          <w:color w:val="000000" w:themeColor="text1"/>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3、指标</w:t>
      </w:r>
    </w:p>
    <w:tbl>
      <w:tblPr>
        <w:tblStyle w:val="9"/>
        <w:tblW w:w="9344" w:type="dxa"/>
        <w:tblInd w:w="0" w:type="dxa"/>
        <w:tblLayout w:type="fixed"/>
        <w:tblCellMar>
          <w:top w:w="0" w:type="dxa"/>
          <w:left w:w="108" w:type="dxa"/>
          <w:bottom w:w="0" w:type="dxa"/>
          <w:right w:w="108" w:type="dxa"/>
        </w:tblCellMar>
      </w:tblPr>
      <w:tblGrid>
        <w:gridCol w:w="760"/>
        <w:gridCol w:w="1655"/>
        <w:gridCol w:w="1701"/>
        <w:gridCol w:w="1441"/>
        <w:gridCol w:w="1441"/>
        <w:gridCol w:w="1460"/>
        <w:gridCol w:w="886"/>
      </w:tblGrid>
      <w:tr w14:paraId="3A4D4669">
        <w:tblPrEx>
          <w:tblCellMar>
            <w:top w:w="0" w:type="dxa"/>
            <w:left w:w="108" w:type="dxa"/>
            <w:bottom w:w="0" w:type="dxa"/>
            <w:right w:w="108" w:type="dxa"/>
          </w:tblCellMar>
        </w:tblPrEx>
        <w:trPr>
          <w:trHeight w:val="480" w:hRule="atLeast"/>
        </w:trPr>
        <w:tc>
          <w:tcPr>
            <w:tcW w:w="9344"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B565D">
            <w:pPr>
              <w:jc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单体技术经济一览表</w:t>
            </w:r>
          </w:p>
        </w:tc>
      </w:tr>
      <w:tr w14:paraId="16EF12DA">
        <w:tblPrEx>
          <w:tblCellMar>
            <w:top w:w="0" w:type="dxa"/>
            <w:left w:w="108" w:type="dxa"/>
            <w:bottom w:w="0" w:type="dxa"/>
            <w:right w:w="108" w:type="dxa"/>
          </w:tblCellMar>
        </w:tblPrEx>
        <w:trPr>
          <w:trHeight w:val="48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3F564">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单体名称</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BBC7">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建筑层数（地上/地下）</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02694">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建筑高度（米）</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DC8DC">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占地面积（平方米）</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CA89">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计容面积（平方米）</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51C3C">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总建筑面积（平方米）</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C7081">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耐火等级</w:t>
            </w:r>
          </w:p>
        </w:tc>
      </w:tr>
      <w:tr w14:paraId="7075399C">
        <w:tblPrEx>
          <w:tblCellMar>
            <w:top w:w="0" w:type="dxa"/>
            <w:left w:w="108" w:type="dxa"/>
            <w:bottom w:w="0" w:type="dxa"/>
            <w:right w:w="108" w:type="dxa"/>
          </w:tblCellMar>
        </w:tblPrEx>
        <w:trPr>
          <w:trHeight w:val="48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E9681">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厂房二</w:t>
            </w:r>
          </w:p>
        </w:tc>
        <w:tc>
          <w:tcPr>
            <w:tcW w:w="16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72934">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cs="宋体"/>
                <w:color w:val="000000" w:themeColor="text1"/>
                <w:kern w:val="0"/>
                <w:sz w:val="24"/>
                <w:szCs w:val="24"/>
                <w14:textFill>
                  <w14:solidFill>
                    <w14:schemeClr w14:val="tx1"/>
                  </w14:solidFill>
                </w14:textFill>
              </w:rPr>
              <w:t>F/0</w:t>
            </w:r>
          </w:p>
        </w:tc>
        <w:tc>
          <w:tcPr>
            <w:tcW w:w="17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CA870">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8.15m</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4A5D">
            <w:pPr>
              <w:widowControl/>
              <w:jc w:val="center"/>
              <w:textAlignment w:val="center"/>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3456.00</w:t>
            </w:r>
          </w:p>
        </w:tc>
        <w:tc>
          <w:tcPr>
            <w:tcW w:w="14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D9215">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6912.00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A134C">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val="zh-CN"/>
                <w14:textFill>
                  <w14:solidFill>
                    <w14:schemeClr w14:val="tx1"/>
                  </w14:solidFill>
                </w14:textFill>
              </w:rPr>
              <w:t>6912.00</w:t>
            </w:r>
          </w:p>
        </w:tc>
        <w:tc>
          <w:tcPr>
            <w:tcW w:w="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EEEA5">
            <w:pPr>
              <w:widowControl/>
              <w:jc w:val="center"/>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二级</w:t>
            </w:r>
          </w:p>
        </w:tc>
      </w:tr>
    </w:tbl>
    <w:p w14:paraId="250BCF26">
      <w:pPr>
        <w:pStyle w:val="2"/>
        <w:spacing w:line="360" w:lineRule="auto"/>
        <w:ind w:left="0" w:leftChars="0" w:firstLine="0" w:firstLineChars="0"/>
        <w:rPr>
          <w:rFonts w:ascii="宋体" w:hAnsi="宋体" w:cs="宋体"/>
          <w:color w:val="000000" w:themeColor="text1"/>
          <w14:textFill>
            <w14:solidFill>
              <w14:schemeClr w14:val="tx1"/>
            </w14:solidFill>
          </w14:textFill>
        </w:rPr>
      </w:pPr>
    </w:p>
    <w:p w14:paraId="5D235B6A">
      <w:pPr>
        <w:snapToGrid w:val="0"/>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 xml:space="preserve">4、采用新技术、新工艺、新材料、新设备和新结构的情况 </w:t>
      </w:r>
    </w:p>
    <w:p w14:paraId="42F8199D">
      <w:pPr>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本工程未采用新技术、新材料、新设备和新结构。</w:t>
      </w:r>
    </w:p>
    <w:p w14:paraId="70385DE5">
      <w:pPr>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p>
    <w:p w14:paraId="09DF53CD">
      <w:pPr>
        <w:snapToGrid w:val="0"/>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5、具有特殊火灾危险性的消防设计和需要设计审批时解决或确定的问题</w:t>
      </w:r>
    </w:p>
    <w:p w14:paraId="635BD343">
      <w:pPr>
        <w:spacing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本工程没有特殊火灾危险性的消防设计和需要设计审批时解决或确定的问题。</w:t>
      </w:r>
    </w:p>
    <w:p w14:paraId="6F951056">
      <w:pPr>
        <w:spacing w:line="360" w:lineRule="auto"/>
        <w:ind w:firstLine="480" w:firstLineChars="200"/>
        <w:rPr>
          <w:rFonts w:ascii="宋体" w:hAnsi="宋体" w:cs="宋体"/>
          <w:color w:val="000000" w:themeColor="text1"/>
          <w:sz w:val="24"/>
          <w:szCs w:val="24"/>
          <w14:textFill>
            <w14:solidFill>
              <w14:schemeClr w14:val="tx1"/>
            </w14:solidFill>
          </w14:textFill>
        </w:rPr>
      </w:pPr>
    </w:p>
    <w:p w14:paraId="39259B46">
      <w:pPr>
        <w:snapToGrid w:val="0"/>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6、总平面</w:t>
      </w:r>
    </w:p>
    <w:p w14:paraId="5531E342">
      <w:pPr>
        <w:autoSpaceDE w:val="0"/>
        <w:autoSpaceDN w:val="0"/>
        <w:adjustRightIn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6.1 防火间距:</w:t>
      </w:r>
    </w:p>
    <w:p w14:paraId="793A5505">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各栋单体防火间距满足</w:t>
      </w:r>
      <w:r>
        <w:rPr>
          <w:rFonts w:hint="eastAsia" w:ascii="宋体" w:hAnsi="宋体" w:cs="宋体"/>
          <w:color w:val="000000" w:themeColor="text1"/>
          <w:sz w:val="24"/>
          <w14:textFill>
            <w14:solidFill>
              <w14:schemeClr w14:val="tx1"/>
            </w14:solidFill>
          </w14:textFill>
        </w:rPr>
        <w:t>《建筑设计防火规范》(GB50016—2014)（2018版）表5.2.2</w:t>
      </w:r>
      <w:r>
        <w:rPr>
          <w:rFonts w:hint="eastAsia" w:ascii="宋体" w:hAnsi="宋体" w:cs="宋体"/>
          <w:color w:val="000000" w:themeColor="text1"/>
          <w:sz w:val="24"/>
          <w:szCs w:val="24"/>
          <w14:textFill>
            <w14:solidFill>
              <w14:schemeClr w14:val="tx1"/>
            </w14:solidFill>
          </w14:textFill>
        </w:rPr>
        <w:t>，建筑与地块外周边邻界的建筑防火间距均满足国家消防设计规范。</w:t>
      </w:r>
    </w:p>
    <w:p w14:paraId="164519B2">
      <w:pPr>
        <w:autoSpaceDE w:val="0"/>
        <w:autoSpaceDN w:val="0"/>
        <w:adjustRightIn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r>
        <w:rPr>
          <w:rFonts w:hint="eastAsia" w:ascii="宋体" w:hAnsi="宋体" w:cs="宋体"/>
          <w:color w:val="000000" w:themeColor="text1"/>
          <w:sz w:val="24"/>
          <w:szCs w:val="24"/>
          <w:lang w:val="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2 消防车道</w:t>
      </w:r>
    </w:p>
    <w:p w14:paraId="58604A1E">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项目利用内部消防车道形成沿建筑周边的消防车道，沿建筑长边设置。消防车道道路宽度≥4米，道路转弯半径≥12米，消防车道最大纵向坡度不大于8.0%，消防车与建筑之间无妨碍消防车操作的树木、架空管线等障碍物，消防车道道路的宽度、坡度均满足规范要求。</w:t>
      </w:r>
    </w:p>
    <w:p w14:paraId="5D9EEC86">
      <w:pPr>
        <w:autoSpaceDE w:val="0"/>
        <w:autoSpaceDN w:val="0"/>
        <w:adjustRightIn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w:t>
      </w:r>
      <w:r>
        <w:rPr>
          <w:rFonts w:hint="eastAsia" w:ascii="宋体" w:hAnsi="宋体" w:cs="宋体"/>
          <w:color w:val="000000" w:themeColor="text1"/>
          <w:sz w:val="24"/>
          <w:szCs w:val="24"/>
          <w:lang w:val="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3 消防出入口：</w:t>
      </w:r>
    </w:p>
    <w:p w14:paraId="2B23678E">
      <w:pPr>
        <w:autoSpaceDE w:val="0"/>
        <w:autoSpaceDN w:val="0"/>
        <w:adjustRightIn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本项目在</w:t>
      </w:r>
      <w:r>
        <w:rPr>
          <w:rFonts w:hint="eastAsia" w:ascii="宋体" w:hAnsi="宋体" w:cs="宋体"/>
          <w:color w:val="000000" w:themeColor="text1"/>
          <w:sz w:val="24"/>
          <w:szCs w:val="24"/>
          <w:lang w:val="en-US" w:eastAsia="zh-CN"/>
          <w14:textFill>
            <w14:solidFill>
              <w14:schemeClr w14:val="tx1"/>
            </w14:solidFill>
          </w14:textFill>
        </w:rPr>
        <w:t>东南角及西南角</w:t>
      </w:r>
      <w:r>
        <w:rPr>
          <w:rFonts w:hint="eastAsia" w:ascii="宋体" w:hAnsi="宋体" w:cs="宋体"/>
          <w:color w:val="000000" w:themeColor="text1"/>
          <w:sz w:val="24"/>
          <w:szCs w:val="24"/>
          <w14:textFill>
            <w14:solidFill>
              <w14:schemeClr w14:val="tx1"/>
            </w14:solidFill>
          </w14:textFill>
        </w:rPr>
        <w:t>方向设置消防车道出入口。</w:t>
      </w:r>
    </w:p>
    <w:p w14:paraId="5843EAE1">
      <w:pPr>
        <w:autoSpaceDE w:val="0"/>
        <w:autoSpaceDN w:val="0"/>
        <w:adjustRightInd w:val="0"/>
        <w:spacing w:line="360" w:lineRule="auto"/>
        <w:jc w:val="left"/>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7、 建筑</w:t>
      </w:r>
    </w:p>
    <w:p w14:paraId="2DC852F3">
      <w:pPr>
        <w:autoSpaceDE w:val="0"/>
        <w:autoSpaceDN w:val="0"/>
        <w:adjustRightIn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7.1 建筑防火设计</w:t>
      </w:r>
    </w:p>
    <w:p w14:paraId="1B00C3FA">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7.1.1单体消防设计</w:t>
      </w:r>
    </w:p>
    <w:p w14:paraId="0222D402">
      <w:pPr>
        <w:pStyle w:val="2"/>
        <w:spacing w:line="360" w:lineRule="auto"/>
        <w:ind w:left="0" w:leftChars="0" w:firstLine="0" w:firstLineChars="0"/>
        <w:rPr>
          <w:rFonts w:ascii="宋体" w:hAnsi="宋体" w:cs="宋体"/>
          <w:color w:val="000000" w:themeColor="text1"/>
          <w:kern w:val="2"/>
          <w:szCs w:val="24"/>
          <w14:textFill>
            <w14:solidFill>
              <w14:schemeClr w14:val="tx1"/>
            </w14:solidFill>
          </w14:textFill>
        </w:rPr>
      </w:pPr>
      <w:r>
        <w:rPr>
          <w:rFonts w:hint="eastAsia" w:ascii="宋体" w:hAnsi="宋体" w:cs="宋体"/>
          <w:b/>
          <w:bCs/>
          <w:color w:val="000000" w:themeColor="text1"/>
          <w:kern w:val="2"/>
          <w:szCs w:val="24"/>
          <w14:textFill>
            <w14:solidFill>
              <w14:schemeClr w14:val="tx1"/>
            </w14:solidFill>
          </w14:textFill>
        </w:rPr>
        <w:t>（1）消防设计总体要求：</w:t>
      </w:r>
      <w:r>
        <w:rPr>
          <w:rFonts w:hint="eastAsia" w:ascii="宋体" w:hAnsi="宋体" w:cs="宋体"/>
          <w:color w:val="000000" w:themeColor="text1"/>
          <w:kern w:val="2"/>
          <w:szCs w:val="24"/>
          <w14:textFill>
            <w14:solidFill>
              <w14:schemeClr w14:val="tx1"/>
            </w14:solidFill>
          </w14:textFill>
        </w:rPr>
        <w:t>本项目建筑防火设计严格执行现行《建筑设计防火规范》、《办公建筑设计标准》、《建筑内部装修设计防火规范》等相关消防设计规范进行消防设计；认真贯彻“预防为主，防消结合”的消防工作方针，做到促进生产、保障安全、方便使用、经济合理。</w:t>
      </w:r>
    </w:p>
    <w:p w14:paraId="3DC8383A">
      <w:pPr>
        <w:autoSpaceDE w:val="0"/>
        <w:autoSpaceDN w:val="0"/>
        <w:adjustRightIn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b/>
          <w:bCs/>
          <w:color w:val="000000" w:themeColor="text1"/>
          <w:sz w:val="24"/>
          <w:szCs w:val="24"/>
          <w14:textFill>
            <w14:solidFill>
              <w14:schemeClr w14:val="tx1"/>
            </w14:solidFill>
          </w14:textFill>
        </w:rPr>
        <w:t>（2）项目概况：</w:t>
      </w:r>
      <w:r>
        <w:rPr>
          <w:rFonts w:hint="eastAsia" w:ascii="宋体" w:hAnsi="宋体" w:cs="宋体"/>
          <w:color w:val="000000" w:themeColor="text1"/>
          <w:sz w:val="24"/>
          <w:szCs w:val="24"/>
          <w:lang w:val="zh-CN"/>
          <w14:textFill>
            <w14:solidFill>
              <w14:schemeClr w14:val="tx1"/>
            </w14:solidFill>
          </w14:textFill>
        </w:rPr>
        <w:t>本项目位于</w:t>
      </w:r>
      <w:r>
        <w:rPr>
          <w:rFonts w:hint="eastAsia" w:ascii="宋体" w:hAnsi="宋体" w:cs="宋体"/>
          <w:color w:val="000000" w:themeColor="text1"/>
          <w:sz w:val="24"/>
          <w:szCs w:val="24"/>
          <w14:textFill>
            <w14:solidFill>
              <w14:schemeClr w14:val="tx1"/>
            </w14:solidFill>
          </w14:textFill>
        </w:rPr>
        <w:t>湖南省永州市</w:t>
      </w:r>
      <w:r>
        <w:rPr>
          <w:rFonts w:hint="eastAsia" w:ascii="宋体" w:hAnsi="宋体" w:cs="宋体"/>
          <w:color w:val="000000" w:themeColor="text1"/>
          <w:sz w:val="24"/>
          <w:szCs w:val="24"/>
          <w:lang w:val="zh-CN"/>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位于沱涔大道</w:t>
      </w:r>
      <w:r>
        <w:rPr>
          <w:rFonts w:hint="eastAsia" w:ascii="宋体" w:hAnsi="宋体" w:cs="宋体"/>
          <w:color w:val="000000" w:themeColor="text1"/>
          <w:sz w:val="24"/>
          <w:szCs w:val="24"/>
          <w:lang w:val="en-US" w:eastAsia="zh-CN"/>
          <w14:textFill>
            <w14:solidFill>
              <w14:schemeClr w14:val="tx1"/>
            </w14:solidFill>
          </w14:textFill>
        </w:rPr>
        <w:t>北</w:t>
      </w:r>
      <w:r>
        <w:rPr>
          <w:rFonts w:hint="eastAsia" w:ascii="宋体" w:hAnsi="宋体" w:cs="宋体"/>
          <w:color w:val="000000" w:themeColor="text1"/>
          <w:sz w:val="24"/>
          <w:szCs w:val="24"/>
          <w14:textFill>
            <w14:solidFill>
              <w14:schemeClr w14:val="tx1"/>
            </w14:solidFill>
          </w14:textFill>
        </w:rPr>
        <w:t>侧,</w:t>
      </w:r>
      <w:r>
        <w:rPr>
          <w:rFonts w:hint="eastAsia" w:ascii="宋体" w:hAnsi="宋体" w:cs="宋体"/>
          <w:color w:val="000000" w:themeColor="text1"/>
          <w:sz w:val="24"/>
          <w:szCs w:val="24"/>
          <w:lang w:val="zh-CN"/>
          <w14:textFill>
            <w14:solidFill>
              <w14:schemeClr w14:val="tx1"/>
            </w14:solidFill>
          </w14:textFill>
        </w:rPr>
        <w:t>总建筑面积6912.00㎡，计容建筑面积6912.00㎡。</w:t>
      </w:r>
    </w:p>
    <w:p w14:paraId="021E2C8B">
      <w:pPr>
        <w:pStyle w:val="2"/>
        <w:spacing w:line="360" w:lineRule="auto"/>
        <w:ind w:left="0" w:leftChars="0" w:firstLine="0" w:firstLineChars="0"/>
        <w:rPr>
          <w:rFonts w:ascii="宋体" w:hAnsi="宋体" w:cs="宋体"/>
          <w:b/>
          <w:bCs/>
          <w:color w:val="000000" w:themeColor="text1"/>
          <w:kern w:val="2"/>
          <w:szCs w:val="24"/>
          <w14:textFill>
            <w14:solidFill>
              <w14:schemeClr w14:val="tx1"/>
            </w14:solidFill>
          </w14:textFill>
        </w:rPr>
      </w:pPr>
      <w:r>
        <w:rPr>
          <w:rFonts w:hint="eastAsia" w:ascii="宋体" w:hAnsi="宋体" w:cs="宋体"/>
          <w:b/>
          <w:bCs/>
          <w:color w:val="000000" w:themeColor="text1"/>
          <w:kern w:val="2"/>
          <w:szCs w:val="24"/>
          <w14:textFill>
            <w14:solidFill>
              <w14:schemeClr w14:val="tx1"/>
            </w14:solidFill>
          </w14:textFill>
        </w:rPr>
        <w:t>（3）单体消防设计：</w:t>
      </w:r>
    </w:p>
    <w:p w14:paraId="1D55C3EB">
      <w:pPr>
        <w:autoSpaceDE w:val="0"/>
        <w:autoSpaceDN w:val="0"/>
        <w:adjustRightInd w:val="0"/>
        <w:spacing w:line="360" w:lineRule="auto"/>
        <w:ind w:firstLine="480" w:firstLineChars="200"/>
        <w:jc w:val="left"/>
        <w:textAlignment w:val="center"/>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沱涔大道帮扶车间产业园建设项目</w:t>
      </w:r>
      <w:r>
        <w:rPr>
          <w:rFonts w:hint="eastAsia" w:ascii="宋体" w:hAnsi="宋体" w:cs="宋体"/>
          <w:color w:val="000000" w:themeColor="text1"/>
          <w:sz w:val="24"/>
          <w:szCs w:val="24"/>
          <w:lang w:val="en-US" w:eastAsia="zh-CN"/>
          <w14:textFill>
            <w14:solidFill>
              <w14:schemeClr w14:val="tx1"/>
            </w14:solidFill>
          </w14:textFill>
        </w:rPr>
        <w:t>-厂房二</w:t>
      </w:r>
      <w:r>
        <w:rPr>
          <w:rFonts w:hint="eastAsia" w:ascii="宋体" w:hAnsi="宋体" w:cs="宋体"/>
          <w:color w:val="000000" w:themeColor="text1"/>
          <w:sz w:val="24"/>
          <w:szCs w:val="24"/>
          <w14:textFill>
            <w14:solidFill>
              <w14:schemeClr w14:val="tx1"/>
            </w14:solidFill>
          </w14:textFill>
        </w:rPr>
        <w:t>,使用功能</w:t>
      </w:r>
      <w:r>
        <w:rPr>
          <w:rFonts w:hint="eastAsia" w:ascii="宋体" w:hAnsi="宋体" w:cs="宋体"/>
          <w:color w:val="000000" w:themeColor="text1"/>
          <w:sz w:val="24"/>
          <w:szCs w:val="24"/>
          <w:lang w:val="en-US" w:eastAsia="zh-CN"/>
          <w14:textFill>
            <w14:solidFill>
              <w14:schemeClr w14:val="tx1"/>
            </w14:solidFill>
          </w14:textFill>
        </w:rPr>
        <w:t>工业厂房</w:t>
      </w:r>
      <w:r>
        <w:rPr>
          <w:rFonts w:hint="eastAsia" w:ascii="宋体" w:hAnsi="宋体" w:cs="宋体"/>
          <w:color w:val="000000" w:themeColor="text1"/>
          <w:sz w:val="24"/>
          <w:szCs w:val="24"/>
          <w14:textFill>
            <w14:solidFill>
              <w14:schemeClr w14:val="tx1"/>
            </w14:solidFill>
          </w14:textFill>
        </w:rPr>
        <w:t>，结构形式为</w:t>
      </w:r>
      <w:r>
        <w:rPr>
          <w:rFonts w:hint="eastAsia" w:ascii="宋体" w:hAnsi="宋体" w:cs="宋体"/>
          <w:color w:val="000000" w:themeColor="text1"/>
          <w:sz w:val="24"/>
          <w:szCs w:val="24"/>
          <w:lang w:val="en-US" w:eastAsia="zh-CN"/>
          <w14:textFill>
            <w14:solidFill>
              <w14:schemeClr w14:val="tx1"/>
            </w14:solidFill>
          </w14:textFill>
        </w:rPr>
        <w:t>钢结构</w:t>
      </w:r>
      <w:r>
        <w:rPr>
          <w:rFonts w:hint="eastAsia" w:ascii="宋体" w:hAnsi="宋体" w:cs="宋体"/>
          <w:color w:val="000000" w:themeColor="text1"/>
          <w:sz w:val="24"/>
          <w:szCs w:val="24"/>
          <w14:textFill>
            <w14:solidFill>
              <w14:schemeClr w14:val="tx1"/>
            </w14:solidFill>
          </w14:textFill>
        </w:rPr>
        <w:t>，地上4层，建筑高度</w:t>
      </w:r>
      <w:r>
        <w:rPr>
          <w:rFonts w:hint="eastAsia" w:ascii="宋体" w:hAnsi="宋体" w:cs="宋体"/>
          <w:color w:val="000000" w:themeColor="text1"/>
          <w:sz w:val="24"/>
          <w:szCs w:val="24"/>
          <w:lang w:val="en-US" w:eastAsia="zh-CN"/>
          <w14:textFill>
            <w14:solidFill>
              <w14:schemeClr w14:val="tx1"/>
            </w14:solidFill>
          </w14:textFill>
        </w:rPr>
        <w:t>8.15</w:t>
      </w:r>
      <w:r>
        <w:rPr>
          <w:rFonts w:hint="eastAsia" w:ascii="宋体" w:hAnsi="宋体" w:cs="宋体"/>
          <w:color w:val="000000" w:themeColor="text1"/>
          <w:sz w:val="24"/>
          <w:szCs w:val="24"/>
          <w14:textFill>
            <w14:solidFill>
              <w14:schemeClr w14:val="tx1"/>
            </w14:solidFill>
          </w14:textFill>
        </w:rPr>
        <w:t>m，</w:t>
      </w:r>
      <w:r>
        <w:rPr>
          <w:rFonts w:hint="eastAsia" w:ascii="宋体" w:hAnsi="宋体" w:cs="宋体"/>
          <w:color w:val="000000" w:themeColor="text1"/>
          <w:sz w:val="24"/>
          <w:szCs w:val="24"/>
          <w:lang w:val="en-US" w:eastAsia="zh-CN"/>
          <w14:textFill>
            <w14:solidFill>
              <w14:schemeClr w14:val="tx1"/>
            </w14:solidFill>
          </w14:textFill>
        </w:rPr>
        <w:t>单</w:t>
      </w:r>
      <w:r>
        <w:rPr>
          <w:rFonts w:hint="eastAsia" w:ascii="宋体" w:hAnsi="宋体" w:cs="宋体"/>
          <w:color w:val="000000" w:themeColor="text1"/>
          <w:sz w:val="24"/>
          <w:szCs w:val="24"/>
          <w14:textFill>
            <w14:solidFill>
              <w14:schemeClr w14:val="tx1"/>
            </w14:solidFill>
          </w14:textFill>
        </w:rPr>
        <w:t>层</w:t>
      </w:r>
      <w:r>
        <w:rPr>
          <w:rFonts w:hint="eastAsia" w:ascii="宋体" w:hAnsi="宋体" w:cs="宋体"/>
          <w:color w:val="000000" w:themeColor="text1"/>
          <w:sz w:val="24"/>
          <w:szCs w:val="24"/>
          <w:lang w:val="en-US" w:eastAsia="zh-CN"/>
          <w14:textFill>
            <w14:solidFill>
              <w14:schemeClr w14:val="tx1"/>
            </w14:solidFill>
          </w14:textFill>
        </w:rPr>
        <w:t>工业建筑</w:t>
      </w:r>
      <w:r>
        <w:rPr>
          <w:rFonts w:hint="eastAsia" w:ascii="宋体" w:hAnsi="宋体" w:cs="宋体"/>
          <w:color w:val="000000" w:themeColor="text1"/>
          <w:sz w:val="24"/>
          <w:szCs w:val="24"/>
          <w14:textFill>
            <w14:solidFill>
              <w14:schemeClr w14:val="tx1"/>
            </w14:solidFill>
          </w14:textFill>
        </w:rPr>
        <w:t>，地上耐火等级二级。</w:t>
      </w:r>
      <w:r>
        <w:rPr>
          <w:rFonts w:hint="eastAsia" w:ascii="宋体" w:hAnsi="宋体" w:cs="宋体"/>
          <w:color w:val="000000" w:themeColor="text1"/>
          <w:sz w:val="24"/>
          <w:szCs w:val="24"/>
          <w:lang w:val="en-US" w:eastAsia="zh-CN"/>
          <w14:textFill>
            <w14:solidFill>
              <w14:schemeClr w14:val="tx1"/>
            </w14:solidFill>
          </w14:textFill>
        </w:rPr>
        <w:t>一</w:t>
      </w:r>
      <w:r>
        <w:rPr>
          <w:rFonts w:hint="eastAsia" w:ascii="宋体" w:hAnsi="宋体" w:cs="宋体"/>
          <w:color w:val="000000" w:themeColor="text1"/>
          <w:sz w:val="24"/>
          <w:szCs w:val="24"/>
          <w14:textFill>
            <w14:solidFill>
              <w14:schemeClr w14:val="tx1"/>
            </w14:solidFill>
          </w14:textFill>
        </w:rPr>
        <w:t>层为一个防火分区，防火分区最大面积超过3000平方米。建筑的安全出口的数量、疏散距离、疏散宽度均满足国家相应消防设计规范。</w:t>
      </w:r>
    </w:p>
    <w:p w14:paraId="6D23A693">
      <w:pPr>
        <w:pStyle w:val="2"/>
        <w:ind w:firstLine="480"/>
        <w:rPr>
          <w:color w:val="000000" w:themeColor="text1"/>
          <w14:textFill>
            <w14:solidFill>
              <w14:schemeClr w14:val="tx1"/>
            </w14:solidFill>
          </w14:textFill>
        </w:rPr>
      </w:pPr>
    </w:p>
    <w:p w14:paraId="02F707B5">
      <w:pPr>
        <w:autoSpaceDE w:val="0"/>
        <w:autoSpaceDN w:val="0"/>
        <w:adjustRightInd w:val="0"/>
        <w:spacing w:line="360" w:lineRule="auto"/>
        <w:jc w:val="left"/>
        <w:textAlignment w:val="center"/>
        <w:rPr>
          <w:rFonts w:ascii="宋体" w:hAnsi="宋体" w:cs="宋体"/>
          <w:b/>
          <w:bCs/>
          <w:color w:val="000000" w:themeColor="text1"/>
          <w:sz w:val="24"/>
          <w:szCs w:val="32"/>
          <w14:textFill>
            <w14:solidFill>
              <w14:schemeClr w14:val="tx1"/>
            </w14:solidFill>
          </w14:textFill>
        </w:rPr>
      </w:pPr>
      <w:r>
        <w:rPr>
          <w:rFonts w:hint="eastAsia" w:ascii="宋体" w:hAnsi="宋体" w:cs="宋体"/>
          <w:b/>
          <w:bCs/>
          <w:color w:val="000000" w:themeColor="text1"/>
          <w:sz w:val="24"/>
          <w:szCs w:val="32"/>
          <w14:textFill>
            <w14:solidFill>
              <w14:schemeClr w14:val="tx1"/>
            </w14:solidFill>
          </w14:textFill>
        </w:rPr>
        <w:t>（4）其他消防措施：</w:t>
      </w:r>
    </w:p>
    <w:p w14:paraId="3A591DF7">
      <w:pPr>
        <w:pStyle w:val="2"/>
        <w:spacing w:line="360" w:lineRule="auto"/>
        <w:ind w:left="0" w:leftChars="0" w:firstLine="0" w:firstLineChars="0"/>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1）建筑外墙均在每层的适当位置设有可供消防救援人员进入的窗口或门，每个防火分区不小于两个，窗口的净高度和净宽度均不小于1．0米，下沿距室内地面不大于1．2米，窗口的玻璃应易于破碎，并应设置可在室外、室内易于识别的明显标志。</w:t>
      </w:r>
    </w:p>
    <w:p w14:paraId="498ABA8D">
      <w:pPr>
        <w:pStyle w:val="8"/>
        <w:widowControl/>
        <w:spacing w:line="360" w:lineRule="auto"/>
        <w:rPr>
          <w:rFonts w:cs="宋体"/>
          <w:color w:val="000000" w:themeColor="text1"/>
          <w:sz w:val="24"/>
          <w:szCs w:val="24"/>
          <w14:textFill>
            <w14:solidFill>
              <w14:schemeClr w14:val="tx1"/>
            </w14:solidFill>
          </w14:textFill>
        </w:rPr>
      </w:pPr>
      <w:r>
        <w:rPr>
          <w:rFonts w:hint="eastAsia" w:cs="宋体"/>
          <w:color w:val="000000" w:themeColor="text1"/>
          <w:sz w:val="24"/>
          <w:szCs w:val="24"/>
          <w14:textFill>
            <w14:solidFill>
              <w14:schemeClr w14:val="tx1"/>
            </w14:solidFill>
          </w14:textFill>
        </w:rPr>
        <w:t>7.1.2 建筑防火构造</w:t>
      </w:r>
    </w:p>
    <w:p w14:paraId="4CC9B1CF">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防火分区之间的隔墙以及其他有特殊要求的部位的隔墙均应采用耐火极限不低于3小时的防火墙墙体材料分隔，防火墙上的门均为甲级防火门。紧靠防火墙两侧的门窗洞口水平距离按规范要求设计：水平窗距不小于2米，防火墙内转角两侧的窗洞口水平距离控制在4米以上，凡不满足距离要求的窗洞则设置固定乙级防火门窗。其余各部位的墙体、楼板耐火极限均应满足《建筑设计防火规范》(GB50016—2014)（2018版）第5．1．2 条中相应构件的燃烧性能和耐火极限要求。</w:t>
      </w:r>
    </w:p>
    <w:p w14:paraId="455CB559">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（2）所有分隔内墙均砌至结构梁底或板底，不留缝隙。</w:t>
      </w:r>
    </w:p>
    <w:p w14:paraId="6B4A3A39">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（3）设备竖井均分类独立设置，井壁材料耐火极限≥1.00h。井道检修门采用丙级防火门。除风道外，其余管井、电缆井等均每层用C20钢筋混凝土或防火材料封堵。</w:t>
      </w:r>
    </w:p>
    <w:p w14:paraId="66442FFE">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（4）钢结构玻璃顶棚采用薄涂型钢结构防火涂料。钢结构耐火极限大于1.5小时。</w:t>
      </w:r>
    </w:p>
    <w:p w14:paraId="540BC64B">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（5）外墙保温材料燃烧性能等级为A级，屋顶保温材料燃烧性能等级为B1级，屋顶保温材料构造做法燃烧性能为A级，符合规范及相关要求。</w:t>
      </w:r>
    </w:p>
    <w:p w14:paraId="53EC4736">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所有防火门必须选用经所在市消防部门认可的产品， 由施工单位报送有关资料，经业主及建筑师确认。</w:t>
      </w:r>
    </w:p>
    <w:p w14:paraId="0DAB55DF">
      <w:pPr>
        <w:tabs>
          <w:tab w:val="left" w:pos="9745"/>
        </w:tabs>
        <w:snapToGrid w:val="0"/>
        <w:spacing w:line="360" w:lineRule="auto"/>
        <w:ind w:firstLine="240" w:firstLineChars="1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保温材料燃烧性能符合规范及相关要求。</w:t>
      </w:r>
    </w:p>
    <w:p w14:paraId="187FBDFC">
      <w:pPr>
        <w:pStyle w:val="2"/>
        <w:ind w:firstLine="480"/>
        <w:rPr>
          <w:color w:val="000000" w:themeColor="text1"/>
          <w14:textFill>
            <w14:solidFill>
              <w14:schemeClr w14:val="tx1"/>
            </w14:solidFill>
          </w14:textFill>
        </w:rPr>
      </w:pPr>
    </w:p>
    <w:p w14:paraId="2C694BD1">
      <w:pPr>
        <w:tabs>
          <w:tab w:val="left" w:pos="9745"/>
        </w:tabs>
        <w:snapToGrid w:val="0"/>
        <w:spacing w:line="360" w:lineRule="auto"/>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7.1.3其他防火措施</w:t>
      </w:r>
    </w:p>
    <w:p w14:paraId="7884D15E">
      <w:pPr>
        <w:tabs>
          <w:tab w:val="left" w:pos="9745"/>
        </w:tabs>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（1）本工程的室内装修设计，按国家标准《建筑内部装修设计防火规范》有关规定执行。（2）所有砌体墙（除说明者外）均砌至梁底或板</w:t>
      </w:r>
    </w:p>
    <w:p w14:paraId="2F8352ED">
      <w:pPr>
        <w:tabs>
          <w:tab w:val="left" w:pos="9745"/>
        </w:tabs>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（3）管道穿过隔墙、楼板时，应采用不燃烧材料将其周围的缝隙填塞密实。</w:t>
      </w:r>
    </w:p>
    <w:p w14:paraId="28EF8459">
      <w:pPr>
        <w:tabs>
          <w:tab w:val="left" w:pos="9745"/>
        </w:tabs>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（4）各防火分区、设备用房等均需用不燃烧材料的防火墙或特级防火卷帘分隔；防火墙和防火卷帘的耐火极限应不低于3h；楼梯间的墙耐火极限应不低于2h。</w:t>
      </w:r>
    </w:p>
    <w:p w14:paraId="53DB98FA">
      <w:pPr>
        <w:tabs>
          <w:tab w:val="left" w:pos="9745"/>
        </w:tabs>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（5）防火墙上、设备用房等处的门应为甲级防火门；各种安全疏散楼梯间及前室的门应为乙级防火门，并向疏散方向开启；管道井的检修门为丙级防火门。</w:t>
      </w:r>
    </w:p>
    <w:p w14:paraId="6E5EF924">
      <w:pPr>
        <w:tabs>
          <w:tab w:val="left" w:pos="9745"/>
        </w:tabs>
        <w:snapToGrid w:val="0"/>
        <w:spacing w:line="360" w:lineRule="auto"/>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6）外露的金属结构构件应涂防火涂料作保护层，钢结构防火涂料厚度应根据耐火极限时间和厂家出具的通过国家检测机构检测合格的报告确定厚度。结构主要受力钢柱应达到二级耐火等级要求极限时间2.5小时要求；</w:t>
      </w:r>
    </w:p>
    <w:p w14:paraId="63DA4008">
      <w:pPr>
        <w:tabs>
          <w:tab w:val="left" w:pos="9745"/>
        </w:tabs>
        <w:snapToGrid w:val="0"/>
        <w:spacing w:line="360" w:lineRule="auto"/>
        <w:ind w:firstLine="480" w:firstLineChars="200"/>
        <w:jc w:val="left"/>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所有木装修均须先在板背及龙骨上按规范要求涂刷燃烧性能等级不低于A防火涂料。</w:t>
      </w:r>
    </w:p>
    <w:p w14:paraId="65E2A543">
      <w:pPr>
        <w:numPr>
          <w:ilvl w:val="0"/>
          <w:numId w:val="3"/>
        </w:numPr>
        <w:tabs>
          <w:tab w:val="left" w:pos="9745"/>
        </w:tabs>
        <w:snapToGrid w:val="0"/>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除风井外的所有管道井，当管线安装完毕后，应在每层楼板处现浇钢筋砼（厚度同该层楼板）作上下层防火分隔；楼面屋面的变形缝采用防火材料封堵。</w:t>
      </w:r>
    </w:p>
    <w:p w14:paraId="1FABF585">
      <w:pPr>
        <w:autoSpaceDE w:val="0"/>
        <w:autoSpaceDN w:val="0"/>
        <w:adjustRightInd w:val="0"/>
        <w:spacing w:line="360" w:lineRule="auto"/>
        <w:jc w:val="left"/>
        <w:rPr>
          <w:rFonts w:ascii="黑体" w:hAnsi="黑体" w:eastAsia="黑体"/>
          <w:b/>
          <w:bCs/>
          <w:sz w:val="24"/>
          <w:szCs w:val="24"/>
        </w:rPr>
      </w:pPr>
      <w:r>
        <w:rPr>
          <w:rFonts w:hint="eastAsia" w:ascii="黑体" w:hAnsi="黑体" w:eastAsia="黑体"/>
          <w:b/>
          <w:bCs/>
          <w:sz w:val="24"/>
          <w:szCs w:val="24"/>
          <w:lang w:val="en-US" w:eastAsia="zh-CN"/>
        </w:rPr>
        <w:t>8、</w:t>
      </w:r>
      <w:r>
        <w:rPr>
          <w:rFonts w:ascii="黑体" w:hAnsi="黑体" w:eastAsia="黑体"/>
          <w:b/>
          <w:bCs/>
          <w:sz w:val="24"/>
          <w:szCs w:val="24"/>
        </w:rPr>
        <w:t xml:space="preserve"> </w:t>
      </w:r>
      <w:r>
        <w:rPr>
          <w:rFonts w:hint="eastAsia" w:ascii="黑体" w:hAnsi="黑体" w:eastAsia="黑体"/>
          <w:b/>
          <w:bCs/>
          <w:sz w:val="24"/>
          <w:szCs w:val="24"/>
        </w:rPr>
        <w:t>结构防火设计</w:t>
      </w:r>
    </w:p>
    <w:p w14:paraId="2BAAE9FB">
      <w:pPr>
        <w:pStyle w:val="2"/>
        <w:spacing w:line="360" w:lineRule="auto"/>
        <w:ind w:left="0" w:leftChars="0" w:firstLine="0" w:firstLineChars="0"/>
        <w:rPr>
          <w:rFonts w:hint="eastAsia" w:ascii="宋体" w:hAnsi="宋体"/>
          <w:kern w:val="2"/>
          <w:szCs w:val="24"/>
        </w:rPr>
      </w:pPr>
      <w:r>
        <w:rPr>
          <w:rFonts w:hint="eastAsia"/>
        </w:rPr>
        <w:t xml:space="preserve"> </w:t>
      </w:r>
      <w:r>
        <w:rPr>
          <w:rFonts w:hint="eastAsia" w:ascii="宋体" w:hAnsi="宋体"/>
          <w:kern w:val="2"/>
          <w:szCs w:val="24"/>
          <w:lang w:val="zh-CN"/>
        </w:rPr>
        <w:t>（</w:t>
      </w:r>
      <w:r>
        <w:rPr>
          <w:rFonts w:hint="eastAsia" w:ascii="宋体" w:hAnsi="宋体"/>
          <w:kern w:val="2"/>
          <w:szCs w:val="24"/>
          <w:lang w:val="en-US" w:eastAsia="zh-CN"/>
        </w:rPr>
        <w:t>1</w:t>
      </w:r>
      <w:r>
        <w:rPr>
          <w:rFonts w:hint="eastAsia" w:ascii="宋体" w:hAnsi="宋体"/>
          <w:kern w:val="2"/>
          <w:szCs w:val="24"/>
          <w:lang w:val="zh-CN"/>
        </w:rPr>
        <w:t>）</w:t>
      </w:r>
      <w:r>
        <w:rPr>
          <w:rFonts w:hint="eastAsia" w:ascii="宋体" w:hAnsi="宋体"/>
          <w:kern w:val="2"/>
          <w:szCs w:val="24"/>
          <w:lang w:val="en-US" w:eastAsia="zh-CN"/>
        </w:rPr>
        <w:t>本项目</w:t>
      </w:r>
      <w:r>
        <w:rPr>
          <w:rFonts w:hint="eastAsia" w:ascii="宋体" w:hAnsi="宋体"/>
          <w:kern w:val="2"/>
          <w:szCs w:val="24"/>
        </w:rPr>
        <w:t>耐火等级为 二 级时:柱截面最小尺寸(mm)方形柱300x300、200x400、圆形柱直径350；承重墙、防火墙、外墙厚度最小尺寸200mm；分户墙、楼梯间、前室、电梯间、疏散走道两侧的隔墙厚度最小尺寸200mm；房间内隔墙厚度最小尺寸100mm；钢筋混凝土梁含抹灰粉刷层在内的钢筋保护层厚度≥25mm；钢筋混凝土楼板最小板厚为100mm，钢筋保护层厚度≥15mm；钢筋混凝土屋面板最小板厚为120mm，钢筋保护层厚度≥15mm；钢筋混凝土疏散楼梯最小板厚为100mm，钢筋保护层厚度≥15mm。</w:t>
      </w:r>
    </w:p>
    <w:p w14:paraId="5381051B">
      <w:pPr>
        <w:pStyle w:val="2"/>
        <w:spacing w:line="360" w:lineRule="auto"/>
        <w:ind w:left="0" w:leftChars="0" w:firstLine="0" w:firstLineChars="0"/>
        <w:rPr>
          <w:rFonts w:ascii="宋体" w:hAnsi="宋体"/>
          <w:kern w:val="2"/>
          <w:szCs w:val="24"/>
        </w:rPr>
      </w:pPr>
      <w:r>
        <w:rPr>
          <w:rFonts w:hint="eastAsia" w:ascii="宋体" w:hAnsi="宋体"/>
          <w:kern w:val="2"/>
          <w:szCs w:val="24"/>
          <w:lang w:val="zh-CN"/>
        </w:rPr>
        <w:t>（</w:t>
      </w:r>
      <w:r>
        <w:rPr>
          <w:rFonts w:hint="eastAsia" w:ascii="宋体" w:hAnsi="宋体"/>
          <w:kern w:val="2"/>
          <w:szCs w:val="24"/>
          <w:lang w:val="en-US" w:eastAsia="zh-CN"/>
        </w:rPr>
        <w:t>2</w:t>
      </w:r>
      <w:r>
        <w:rPr>
          <w:rFonts w:hint="eastAsia" w:ascii="宋体" w:hAnsi="宋体"/>
          <w:kern w:val="2"/>
          <w:szCs w:val="24"/>
          <w:lang w:val="zh-CN"/>
        </w:rPr>
        <w:t>）</w:t>
      </w:r>
      <w:r>
        <w:rPr>
          <w:rFonts w:ascii="宋体" w:hAnsi="宋体"/>
          <w:kern w:val="2"/>
          <w:szCs w:val="24"/>
        </w:rPr>
        <w:t>外露的金属结构构件应涂防火涂料作保护层。</w:t>
      </w:r>
    </w:p>
    <w:p w14:paraId="3B599F2C">
      <w:pPr>
        <w:pStyle w:val="2"/>
        <w:spacing w:line="360" w:lineRule="auto"/>
        <w:ind w:left="0" w:leftChars="0" w:firstLine="480"/>
        <w:rPr>
          <w:rFonts w:ascii="宋体" w:hAnsi="宋体"/>
          <w:kern w:val="2"/>
          <w:szCs w:val="24"/>
        </w:rPr>
      </w:pPr>
      <w:r>
        <w:rPr>
          <w:rFonts w:hint="eastAsia" w:ascii="宋体" w:hAnsi="宋体"/>
          <w:kern w:val="2"/>
          <w:szCs w:val="24"/>
          <w:lang w:eastAsia="zh-CN"/>
        </w:rPr>
        <w:t>厂房二</w:t>
      </w:r>
      <w:r>
        <w:rPr>
          <w:rFonts w:hint="eastAsia" w:ascii="宋体" w:hAnsi="宋体"/>
          <w:kern w:val="2"/>
          <w:szCs w:val="24"/>
        </w:rPr>
        <w:t>的耐火等级为二级。钢柱、柱间支撑，采用</w:t>
      </w:r>
      <w:r>
        <w:rPr>
          <w:rFonts w:ascii="宋体" w:hAnsi="宋体"/>
          <w:kern w:val="2"/>
          <w:szCs w:val="24"/>
        </w:rPr>
        <w:t>环氧类</w:t>
      </w:r>
      <w:r>
        <w:rPr>
          <w:rFonts w:hint="eastAsia" w:ascii="宋体" w:hAnsi="宋体"/>
          <w:kern w:val="2"/>
          <w:szCs w:val="24"/>
        </w:rPr>
        <w:t>膨胀型防</w:t>
      </w:r>
      <w:bookmarkStart w:id="0" w:name="_GoBack"/>
      <w:bookmarkEnd w:id="0"/>
      <w:r>
        <w:rPr>
          <w:rFonts w:hint="eastAsia" w:ascii="宋体" w:hAnsi="宋体"/>
          <w:kern w:val="2"/>
          <w:szCs w:val="24"/>
        </w:rPr>
        <w:t>火涂料，耐火极限为2.0h，</w:t>
      </w:r>
      <w:r>
        <w:rPr>
          <w:rFonts w:ascii="宋体" w:hAnsi="宋体"/>
          <w:kern w:val="2"/>
          <w:szCs w:val="24"/>
        </w:rPr>
        <w:t>（防火保护层的等效热阻厂房不小于</w:t>
      </w:r>
      <w:r>
        <w:rPr>
          <w:rFonts w:hint="eastAsia" w:ascii="宋体" w:hAnsi="宋体"/>
          <w:kern w:val="2"/>
          <w:szCs w:val="24"/>
        </w:rPr>
        <w:t xml:space="preserve"> 0.</w:t>
      </w:r>
      <w:r>
        <w:rPr>
          <w:rFonts w:hint="eastAsia" w:ascii="宋体" w:hAnsi="宋体"/>
          <w:kern w:val="2"/>
          <w:szCs w:val="24"/>
          <w:lang w:val="en-US" w:eastAsia="zh-CN"/>
        </w:rPr>
        <w:t>51</w:t>
      </w:r>
      <w:r>
        <w:rPr>
          <w:rFonts w:ascii="宋体" w:hAnsi="宋体"/>
          <w:kern w:val="2"/>
          <w:szCs w:val="24"/>
        </w:rPr>
        <w:t>m2.C/W</w:t>
      </w:r>
      <w:r>
        <w:rPr>
          <w:rFonts w:hint="eastAsia" w:ascii="宋体" w:hAnsi="宋体"/>
          <w:kern w:val="2"/>
          <w:szCs w:val="24"/>
        </w:rPr>
        <w:t>，</w:t>
      </w:r>
      <w:r>
        <w:rPr>
          <w:rFonts w:ascii="宋体" w:hAnsi="宋体"/>
          <w:kern w:val="2"/>
          <w:szCs w:val="24"/>
        </w:rPr>
        <w:t>防火涂料厚度</w:t>
      </w:r>
      <w:r>
        <w:rPr>
          <w:rFonts w:hint="eastAsia" w:ascii="宋体" w:hAnsi="宋体"/>
          <w:kern w:val="2"/>
          <w:szCs w:val="24"/>
        </w:rPr>
        <w:t>≥</w:t>
      </w:r>
      <w:r>
        <w:rPr>
          <w:rFonts w:hint="eastAsia" w:ascii="宋体" w:hAnsi="宋体"/>
          <w:kern w:val="2"/>
          <w:szCs w:val="24"/>
          <w:lang w:val="en-US" w:eastAsia="zh-CN"/>
        </w:rPr>
        <w:t>7</w:t>
      </w:r>
      <w:r>
        <w:rPr>
          <w:rFonts w:hint="eastAsia" w:ascii="宋体" w:hAnsi="宋体"/>
          <w:kern w:val="2"/>
          <w:szCs w:val="24"/>
        </w:rPr>
        <w:t>mm</w:t>
      </w:r>
      <w:r>
        <w:rPr>
          <w:rFonts w:ascii="宋体" w:hAnsi="宋体"/>
          <w:kern w:val="2"/>
          <w:szCs w:val="24"/>
        </w:rPr>
        <w:t>）。</w:t>
      </w:r>
      <w:r>
        <w:rPr>
          <w:rFonts w:hint="eastAsia" w:ascii="宋体" w:hAnsi="宋体"/>
          <w:kern w:val="2"/>
          <w:szCs w:val="24"/>
        </w:rPr>
        <w:t>防火墙以外屋顶承重构件、屋面支撑、系杆</w:t>
      </w:r>
      <w:r>
        <w:rPr>
          <w:rFonts w:ascii="宋体" w:hAnsi="宋体"/>
          <w:kern w:val="2"/>
          <w:szCs w:val="24"/>
        </w:rPr>
        <w:t>，采用环氧类膨胀型型防火涂料</w:t>
      </w:r>
      <w:r>
        <w:rPr>
          <w:rFonts w:hint="eastAsia" w:ascii="宋体" w:hAnsi="宋体"/>
          <w:kern w:val="2"/>
          <w:szCs w:val="24"/>
        </w:rPr>
        <w:t>，耐火极限为1.5h，</w:t>
      </w:r>
      <w:r>
        <w:rPr>
          <w:rFonts w:ascii="宋体" w:hAnsi="宋体"/>
          <w:kern w:val="2"/>
          <w:szCs w:val="24"/>
        </w:rPr>
        <w:t>（防火保护层的等效热阻厂房不小于</w:t>
      </w:r>
      <w:r>
        <w:rPr>
          <w:rFonts w:hint="eastAsia" w:ascii="宋体" w:hAnsi="宋体"/>
          <w:kern w:val="2"/>
          <w:szCs w:val="24"/>
        </w:rPr>
        <w:t>0.</w:t>
      </w:r>
      <w:r>
        <w:rPr>
          <w:rFonts w:hint="eastAsia" w:ascii="宋体" w:hAnsi="宋体"/>
          <w:kern w:val="2"/>
          <w:szCs w:val="24"/>
          <w:lang w:val="en-US" w:eastAsia="zh-CN"/>
        </w:rPr>
        <w:t>35</w:t>
      </w:r>
      <w:r>
        <w:rPr>
          <w:rFonts w:ascii="宋体" w:hAnsi="宋体"/>
          <w:kern w:val="2"/>
          <w:szCs w:val="24"/>
        </w:rPr>
        <w:t>m2.C/W</w:t>
      </w:r>
      <w:r>
        <w:rPr>
          <w:rFonts w:hint="eastAsia" w:ascii="宋体" w:hAnsi="宋体"/>
          <w:kern w:val="2"/>
          <w:szCs w:val="24"/>
        </w:rPr>
        <w:t>，</w:t>
      </w:r>
      <w:r>
        <w:rPr>
          <w:rFonts w:ascii="宋体" w:hAnsi="宋体"/>
          <w:kern w:val="2"/>
          <w:szCs w:val="24"/>
        </w:rPr>
        <w:t>防火涂料厚度</w:t>
      </w:r>
      <w:r>
        <w:rPr>
          <w:rFonts w:hint="eastAsia" w:ascii="宋体" w:hAnsi="宋体"/>
          <w:kern w:val="2"/>
          <w:szCs w:val="24"/>
        </w:rPr>
        <w:t>≥</w:t>
      </w:r>
      <w:r>
        <w:rPr>
          <w:rFonts w:hint="eastAsia" w:ascii="宋体" w:hAnsi="宋体"/>
          <w:kern w:val="2"/>
          <w:szCs w:val="24"/>
          <w:lang w:val="en-US" w:eastAsia="zh-CN"/>
        </w:rPr>
        <w:t>5.0</w:t>
      </w:r>
      <w:r>
        <w:rPr>
          <w:rFonts w:hint="eastAsia" w:ascii="宋体" w:hAnsi="宋体"/>
          <w:kern w:val="2"/>
          <w:szCs w:val="24"/>
        </w:rPr>
        <w:t>mm，环氧类膨胀型防火涂料的厚度仅供参看，具体厚度须</w:t>
      </w:r>
      <w:r>
        <w:rPr>
          <w:rFonts w:ascii="宋体" w:hAnsi="宋体"/>
          <w:kern w:val="2"/>
          <w:szCs w:val="24"/>
        </w:rPr>
        <w:t>根据耐火试验结果确定）。檩条、拉条采用</w:t>
      </w:r>
      <w:r>
        <w:rPr>
          <w:rFonts w:hint="eastAsia" w:ascii="宋体" w:hAnsi="宋体"/>
          <w:kern w:val="2"/>
          <w:szCs w:val="24"/>
        </w:rPr>
        <w:t>膨胀型</w:t>
      </w:r>
      <w:r>
        <w:rPr>
          <w:rFonts w:ascii="宋体" w:hAnsi="宋体"/>
          <w:kern w:val="2"/>
          <w:szCs w:val="24"/>
        </w:rPr>
        <w:t>型防火涂料</w:t>
      </w:r>
      <w:r>
        <w:rPr>
          <w:rFonts w:hint="eastAsia" w:ascii="宋体" w:hAnsi="宋体"/>
          <w:kern w:val="2"/>
          <w:szCs w:val="24"/>
        </w:rPr>
        <w:t>，耐火极限为1.0小时，</w:t>
      </w:r>
      <w:r>
        <w:rPr>
          <w:rFonts w:ascii="宋体" w:hAnsi="宋体"/>
          <w:kern w:val="2"/>
          <w:szCs w:val="24"/>
        </w:rPr>
        <w:t>（防火保护层的等效热阻不小于0.15m2.C/W，</w:t>
      </w:r>
      <w:r>
        <w:rPr>
          <w:rFonts w:hint="eastAsia" w:ascii="宋体" w:hAnsi="宋体"/>
          <w:kern w:val="2"/>
          <w:szCs w:val="24"/>
        </w:rPr>
        <w:t>具体厚度须</w:t>
      </w:r>
      <w:r>
        <w:rPr>
          <w:rFonts w:ascii="宋体" w:hAnsi="宋体"/>
          <w:kern w:val="2"/>
          <w:szCs w:val="24"/>
        </w:rPr>
        <w:t>根据耐火试验结果确定）。</w:t>
      </w:r>
    </w:p>
    <w:p w14:paraId="6DC9ADFC">
      <w:pPr>
        <w:pStyle w:val="2"/>
        <w:spacing w:line="360" w:lineRule="auto"/>
        <w:ind w:left="0" w:leftChars="0" w:firstLine="0" w:firstLineChars="0"/>
        <w:rPr>
          <w:rFonts w:ascii="宋体" w:hAnsi="宋体"/>
          <w:kern w:val="2"/>
          <w:sz w:val="24"/>
          <w:szCs w:val="24"/>
        </w:rPr>
      </w:pPr>
      <w:r>
        <w:rPr>
          <w:rFonts w:hint="eastAsia" w:ascii="宋体" w:hAnsi="宋体"/>
          <w:kern w:val="2"/>
          <w:szCs w:val="24"/>
          <w:lang w:val="zh-CN"/>
        </w:rPr>
        <w:t>（</w:t>
      </w:r>
      <w:r>
        <w:rPr>
          <w:rFonts w:hint="eastAsia" w:ascii="宋体" w:hAnsi="宋体"/>
          <w:kern w:val="2"/>
          <w:sz w:val="24"/>
          <w:szCs w:val="24"/>
          <w:lang w:val="en-US" w:eastAsia="zh-CN"/>
        </w:rPr>
        <w:t>3</w:t>
      </w:r>
      <w:r>
        <w:rPr>
          <w:rFonts w:hint="eastAsia" w:ascii="宋体" w:hAnsi="宋体"/>
          <w:kern w:val="2"/>
          <w:sz w:val="24"/>
          <w:szCs w:val="24"/>
          <w:lang w:val="zh-CN"/>
        </w:rPr>
        <w:t>）</w:t>
      </w:r>
      <w:r>
        <w:rPr>
          <w:rFonts w:ascii="宋体" w:hAnsi="宋体"/>
          <w:kern w:val="2"/>
          <w:sz w:val="24"/>
          <w:szCs w:val="24"/>
        </w:rPr>
        <w:t>钢结构节点的防火保护应与被连接构件中防火保护要求最高者相同。防火涂料的材料必须选用经消防管理部门鉴定认可的，并有可靠的质量保证。选用的防火涂料应与防锈底漆相适应，并有良好的结合能力。(防火涂料具体厚度按产品说明定)</w:t>
      </w:r>
    </w:p>
    <w:p w14:paraId="01569EB1">
      <w:pPr>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kern w:val="2"/>
          <w:sz w:val="24"/>
          <w:szCs w:val="24"/>
          <w:lang w:val="zh-CN"/>
        </w:rPr>
        <w:t>（</w:t>
      </w:r>
      <w:r>
        <w:rPr>
          <w:rFonts w:hint="eastAsia" w:ascii="宋体" w:hAnsi="宋体"/>
          <w:kern w:val="2"/>
          <w:sz w:val="24"/>
          <w:szCs w:val="24"/>
          <w:lang w:val="en-US" w:eastAsia="zh-CN"/>
        </w:rPr>
        <w:t>4</w:t>
      </w:r>
      <w:r>
        <w:rPr>
          <w:rFonts w:hint="eastAsia" w:ascii="宋体" w:hAnsi="宋体"/>
          <w:kern w:val="2"/>
          <w:sz w:val="24"/>
          <w:szCs w:val="24"/>
          <w:lang w:val="zh-CN"/>
        </w:rPr>
        <w:t>）</w:t>
      </w:r>
      <w:r>
        <w:rPr>
          <w:rFonts w:ascii="宋体" w:hAnsi="宋体"/>
          <w:kern w:val="2"/>
          <w:sz w:val="24"/>
          <w:szCs w:val="24"/>
        </w:rPr>
        <w:t>钢结构防火涂料的设计使用年限为15年。钢结构使用过程中，应根据材料特性（如涂装材料使用年限，结构使用环境等）定期对结构进行检查和维修（如对钢结构重新进行涂装，更换损坏构件等），以确保使用过程中的结构安全。</w:t>
      </w:r>
    </w:p>
    <w:p w14:paraId="20B897B9">
      <w:pPr>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9、电气消防设计</w:t>
      </w:r>
    </w:p>
    <w:p w14:paraId="0816CF82">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一、 设计依据</w:t>
      </w:r>
    </w:p>
    <w:p w14:paraId="530FCCAA">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1、《建筑防火通用规范》GB55037-2022</w:t>
      </w:r>
    </w:p>
    <w:p w14:paraId="14A9CA0D">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2、《民用建筑电气设计标准》GB51348-2019</w:t>
      </w:r>
    </w:p>
    <w:p w14:paraId="6C21C2DF">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3、</w:t>
      </w:r>
      <w:r>
        <w:rPr>
          <w:rFonts w:hint="eastAsia" w:ascii="宋体" w:hAnsi="宋体" w:eastAsia="宋体" w:cs="宋体"/>
          <w:color w:val="000000" w:themeColor="text1"/>
          <w:kern w:val="1"/>
          <w:sz w:val="24"/>
          <w:szCs w:val="24"/>
          <w14:textFill>
            <w14:solidFill>
              <w14:schemeClr w14:val="tx1"/>
            </w14:solidFill>
          </w14:textFill>
        </w:rPr>
        <w:t>《建筑电气与智能化通用规范》GB55024-2022</w:t>
      </w:r>
    </w:p>
    <w:p w14:paraId="11ED6A16">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4、《低压配电系统设计规范》GB50054-2011</w:t>
      </w:r>
    </w:p>
    <w:p w14:paraId="6AA6CAA8">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5、《供配电系统设计规范》GB50052-2009</w:t>
      </w:r>
    </w:p>
    <w:p w14:paraId="2503FDD9">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6、《消防应急照明和疏散指示系统技术标准》（GB51309-2018）</w:t>
      </w:r>
    </w:p>
    <w:p w14:paraId="3B0D85A7">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等国家和地区现行的规范及规定。</w:t>
      </w:r>
    </w:p>
    <w:p w14:paraId="49C5FD43">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二、工程概况及现状</w:t>
      </w:r>
    </w:p>
    <w:p w14:paraId="7E586BDE">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w:t>
      </w:r>
      <w:r>
        <w:rPr>
          <w:rFonts w:hint="eastAsia" w:ascii="宋体" w:hAnsi="宋体" w:cs="宋体"/>
          <w:color w:val="000000" w:themeColor="text1"/>
          <w:kern w:val="1"/>
          <w:sz w:val="24"/>
          <w:szCs w:val="24"/>
          <w:lang w:eastAsia="zh-CN"/>
          <w14:textFill>
            <w14:solidFill>
              <w14:schemeClr w14:val="tx1"/>
            </w14:solidFill>
          </w14:textFill>
        </w:rPr>
        <w:t>沱涔大道帮扶车间产业园建设项目</w:t>
      </w:r>
      <w:r>
        <w:rPr>
          <w:rFonts w:hint="eastAsia" w:ascii="宋体" w:hAnsi="宋体" w:cs="宋体"/>
          <w:color w:val="000000" w:themeColor="text1"/>
          <w:kern w:val="1"/>
          <w:sz w:val="24"/>
          <w:szCs w:val="24"/>
          <w:lang w:val="en-US" w:eastAsia="zh-CN"/>
          <w14:textFill>
            <w14:solidFill>
              <w14:schemeClr w14:val="tx1"/>
            </w14:solidFill>
          </w14:textFill>
        </w:rPr>
        <w:t>-厂房二</w:t>
      </w:r>
      <w:r>
        <w:rPr>
          <w:rFonts w:hint="eastAsia" w:ascii="宋体" w:hAnsi="宋体" w:cs="宋体"/>
          <w:color w:val="000000" w:themeColor="text1"/>
          <w:kern w:val="1"/>
          <w:sz w:val="24"/>
          <w:szCs w:val="24"/>
          <w14:textFill>
            <w14:solidFill>
              <w14:schemeClr w14:val="tx1"/>
            </w14:solidFill>
          </w14:textFill>
        </w:rPr>
        <w:t>,使用功能</w:t>
      </w:r>
      <w:r>
        <w:rPr>
          <w:rFonts w:hint="eastAsia" w:ascii="宋体" w:hAnsi="宋体" w:cs="宋体"/>
          <w:color w:val="000000" w:themeColor="text1"/>
          <w:kern w:val="1"/>
          <w:sz w:val="24"/>
          <w:szCs w:val="24"/>
          <w:lang w:val="en-US" w:eastAsia="zh-CN"/>
          <w14:textFill>
            <w14:solidFill>
              <w14:schemeClr w14:val="tx1"/>
            </w14:solidFill>
          </w14:textFill>
        </w:rPr>
        <w:t>工业厂房</w:t>
      </w:r>
      <w:r>
        <w:rPr>
          <w:rFonts w:hint="eastAsia" w:ascii="宋体" w:hAnsi="宋体" w:cs="宋体"/>
          <w:color w:val="000000" w:themeColor="text1"/>
          <w:kern w:val="1"/>
          <w:sz w:val="24"/>
          <w:szCs w:val="24"/>
          <w14:textFill>
            <w14:solidFill>
              <w14:schemeClr w14:val="tx1"/>
            </w14:solidFill>
          </w14:textFill>
        </w:rPr>
        <w:t>，结构形式为</w:t>
      </w:r>
      <w:r>
        <w:rPr>
          <w:rFonts w:hint="eastAsia" w:ascii="宋体" w:hAnsi="宋体" w:cs="宋体"/>
          <w:color w:val="000000" w:themeColor="text1"/>
          <w:kern w:val="1"/>
          <w:sz w:val="24"/>
          <w:szCs w:val="24"/>
          <w:lang w:val="en-US" w:eastAsia="zh-CN"/>
          <w14:textFill>
            <w14:solidFill>
              <w14:schemeClr w14:val="tx1"/>
            </w14:solidFill>
          </w14:textFill>
        </w:rPr>
        <w:t>钢结构</w:t>
      </w:r>
      <w:r>
        <w:rPr>
          <w:rFonts w:hint="eastAsia" w:ascii="宋体" w:hAnsi="宋体" w:cs="宋体"/>
          <w:color w:val="000000" w:themeColor="text1"/>
          <w:kern w:val="1"/>
          <w:sz w:val="24"/>
          <w:szCs w:val="24"/>
          <w14:textFill>
            <w14:solidFill>
              <w14:schemeClr w14:val="tx1"/>
            </w14:solidFill>
          </w14:textFill>
        </w:rPr>
        <w:t>。</w:t>
      </w:r>
    </w:p>
    <w:p w14:paraId="0F60A86B">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2、</w:t>
      </w:r>
      <w:r>
        <w:rPr>
          <w:rFonts w:hint="eastAsia" w:ascii="宋体" w:hAnsi="宋体" w:cs="宋体"/>
          <w:color w:val="000000" w:themeColor="text1"/>
          <w:sz w:val="24"/>
          <w:szCs w:val="24"/>
          <w14:textFill>
            <w14:solidFill>
              <w14:schemeClr w14:val="tx1"/>
            </w14:solidFill>
          </w14:textFill>
        </w:rPr>
        <w:t>地上</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层，建筑高度</w:t>
      </w:r>
      <w:r>
        <w:rPr>
          <w:rFonts w:hint="eastAsia" w:ascii="宋体" w:hAnsi="宋体" w:cs="宋体"/>
          <w:color w:val="000000" w:themeColor="text1"/>
          <w:sz w:val="24"/>
          <w:szCs w:val="24"/>
          <w:lang w:val="en-US" w:eastAsia="zh-CN"/>
          <w14:textFill>
            <w14:solidFill>
              <w14:schemeClr w14:val="tx1"/>
            </w14:solidFill>
          </w14:textFill>
        </w:rPr>
        <w:t>8.15</w:t>
      </w:r>
      <w:r>
        <w:rPr>
          <w:rFonts w:hint="eastAsia" w:ascii="宋体" w:hAnsi="宋体" w:cs="宋体"/>
          <w:color w:val="000000" w:themeColor="text1"/>
          <w:sz w:val="24"/>
          <w:szCs w:val="24"/>
          <w14:textFill>
            <w14:solidFill>
              <w14:schemeClr w14:val="tx1"/>
            </w14:solidFill>
          </w14:textFill>
        </w:rPr>
        <w:t>m，</w:t>
      </w:r>
      <w:r>
        <w:rPr>
          <w:rFonts w:hint="eastAsia" w:ascii="宋体" w:hAnsi="宋体" w:cs="宋体"/>
          <w:color w:val="000000" w:themeColor="text1"/>
          <w:sz w:val="24"/>
          <w:szCs w:val="24"/>
          <w:lang w:val="en-US" w:eastAsia="zh-CN"/>
          <w14:textFill>
            <w14:solidFill>
              <w14:schemeClr w14:val="tx1"/>
            </w14:solidFill>
          </w14:textFill>
        </w:rPr>
        <w:t>单</w:t>
      </w:r>
      <w:r>
        <w:rPr>
          <w:rFonts w:hint="eastAsia" w:ascii="宋体" w:hAnsi="宋体" w:cs="宋体"/>
          <w:color w:val="000000" w:themeColor="text1"/>
          <w:sz w:val="24"/>
          <w:szCs w:val="24"/>
          <w14:textFill>
            <w14:solidFill>
              <w14:schemeClr w14:val="tx1"/>
            </w14:solidFill>
          </w14:textFill>
        </w:rPr>
        <w:t>层</w:t>
      </w:r>
      <w:r>
        <w:rPr>
          <w:rFonts w:hint="eastAsia" w:ascii="宋体" w:hAnsi="宋体" w:cs="宋体"/>
          <w:color w:val="000000" w:themeColor="text1"/>
          <w:sz w:val="24"/>
          <w:szCs w:val="24"/>
          <w:lang w:val="en-US" w:eastAsia="zh-CN"/>
          <w14:textFill>
            <w14:solidFill>
              <w14:schemeClr w14:val="tx1"/>
            </w14:solidFill>
          </w14:textFill>
        </w:rPr>
        <w:t>工业建筑</w:t>
      </w:r>
      <w:r>
        <w:rPr>
          <w:rFonts w:hint="eastAsia" w:ascii="宋体" w:hAnsi="宋体" w:cs="宋体"/>
          <w:color w:val="000000" w:themeColor="text1"/>
          <w:sz w:val="24"/>
          <w:szCs w:val="24"/>
          <w14:textFill>
            <w14:solidFill>
              <w14:schemeClr w14:val="tx1"/>
            </w14:solidFill>
          </w14:textFill>
        </w:rPr>
        <w:t>，地上耐火等级二级</w:t>
      </w:r>
      <w:r>
        <w:rPr>
          <w:rFonts w:hint="eastAsia" w:ascii="宋体" w:hAnsi="宋体" w:cs="宋体"/>
          <w:color w:val="000000" w:themeColor="text1"/>
          <w:kern w:val="1"/>
          <w:sz w:val="24"/>
          <w:szCs w:val="24"/>
          <w14:textFill>
            <w14:solidFill>
              <w14:schemeClr w14:val="tx1"/>
            </w14:solidFill>
          </w14:textFill>
        </w:rPr>
        <w:t>。</w:t>
      </w:r>
    </w:p>
    <w:p w14:paraId="72CAE12D">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3、根据使用功能及相关依据本次设计内容：消防应急照明和疏散指示系统。</w:t>
      </w:r>
      <w:r>
        <w:rPr>
          <w:rFonts w:ascii="宋体" w:hAnsi="宋体" w:cs="宋体"/>
          <w:color w:val="000000" w:themeColor="text1"/>
          <w:kern w:val="1"/>
          <w:sz w:val="24"/>
          <w:szCs w:val="24"/>
          <w14:textFill>
            <w14:solidFill>
              <w14:schemeClr w14:val="tx1"/>
            </w14:solidFill>
          </w14:textFill>
        </w:rPr>
        <w:t xml:space="preserve">   </w:t>
      </w:r>
    </w:p>
    <w:p w14:paraId="75C1B324">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三、消防电源、配电线路及电器装置</w:t>
      </w:r>
    </w:p>
    <w:p w14:paraId="7D08C7B8">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1、本工程室外消防用水量小于20L/S，消防用电设备按三级负荷供电。电源引自</w:t>
      </w:r>
      <w:r>
        <w:rPr>
          <w:rFonts w:hint="eastAsia" w:ascii="宋体" w:hAnsi="宋体" w:cs="宋体"/>
          <w:color w:val="000000" w:themeColor="text1"/>
          <w:kern w:val="1"/>
          <w:sz w:val="24"/>
          <w:szCs w:val="24"/>
          <w:lang w:val="en-US" w:eastAsia="zh-CN"/>
          <w14:textFill>
            <w14:solidFill>
              <w14:schemeClr w14:val="tx1"/>
            </w14:solidFill>
          </w14:textFill>
        </w:rPr>
        <w:t>园</w:t>
      </w:r>
      <w:r>
        <w:rPr>
          <w:rFonts w:hint="eastAsia" w:ascii="宋体" w:hAnsi="宋体" w:cs="宋体"/>
          <w:color w:val="000000" w:themeColor="text1"/>
          <w:kern w:val="1"/>
          <w:sz w:val="24"/>
          <w:szCs w:val="24"/>
          <w14:textFill>
            <w14:solidFill>
              <w14:schemeClr w14:val="tx1"/>
            </w14:solidFill>
          </w14:textFill>
        </w:rPr>
        <w:t>内原有变配电房。应急照明疏散指示系统采用市政电源供电。</w:t>
      </w:r>
    </w:p>
    <w:p w14:paraId="5A63D242">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2、消防干线电缆采用NH-BV-0.45/0.75聚乙烯绝缘耐火型电线沿桥架明敷设，支线采用NH-BV-0.45/0.75聚乙烯绝缘耐火型电线，穿热镀锌钢管暗敷设。应急照明支线采用NH-BV-0.45/0.75聚乙烯绝缘耐火型电线，并穿热镀锌钢管暗敷设。</w:t>
      </w:r>
    </w:p>
    <w:p w14:paraId="3BB7E2AC">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3、应急照明灯和灯光疏散指示标志设置在距地面1m及以下的标志灯面板或灯罩不应采用易碎材料或玻璃材质；在顶棚、疏散路径上方设置的疏散灯具面板或灯罩不应采用玻璃材质。应急照明灯吸顶安装，安全出口标志灯嵌墙暗装在门上方，底边距门框0.2m；其他位置嵌墙暗装，底边距地0.8m。</w:t>
      </w:r>
    </w:p>
    <w:p w14:paraId="7CC7DCFD">
      <w:pPr>
        <w:spacing w:line="360" w:lineRule="auto"/>
        <w:rPr>
          <w:rFonts w:hint="eastAsia" w:ascii="宋体" w:hAnsi="宋体" w:eastAsia="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4、公共走道楼梯间均设置了应急照明,应急照明灯选用非集中电源非集中控制型,疏散楼梯</w:t>
      </w:r>
      <w:r>
        <w:rPr>
          <w:rFonts w:hint="eastAsia" w:ascii="宋体" w:hAnsi="宋体" w:eastAsia="宋体" w:cs="宋体"/>
          <w:color w:val="000000" w:themeColor="text1"/>
          <w:kern w:val="1"/>
          <w:sz w:val="24"/>
          <w:szCs w:val="24"/>
          <w14:textFill>
            <w14:solidFill>
              <w14:schemeClr w14:val="tx1"/>
            </w14:solidFill>
          </w14:textFill>
        </w:rPr>
        <w:t xml:space="preserve">间应急照明照度值不低于 10Lx；疏散走道、人员密集的场所应急照明照度值不低于 3Lx </w:t>
      </w:r>
      <w:r>
        <w:rPr>
          <w:rFonts w:hint="eastAsia" w:ascii="宋体" w:hAnsi="宋体" w:eastAsia="宋体" w:cs="宋体"/>
          <w:color w:val="000000" w:themeColor="text1"/>
          <w:kern w:val="1"/>
          <w:sz w:val="24"/>
          <w:szCs w:val="24"/>
          <w:lang w:eastAsia="zh-CN"/>
          <w14:textFill>
            <w14:solidFill>
              <w14:schemeClr w14:val="tx1"/>
            </w14:solidFill>
          </w14:textFill>
        </w:rPr>
        <w:t>，上述规定场所外的其他场所，其应急照明照度不应低于1.0lx</w:t>
      </w:r>
      <w:r>
        <w:rPr>
          <w:rFonts w:hint="eastAsia" w:ascii="宋体" w:hAnsi="宋体" w:eastAsia="宋体" w:cs="宋体"/>
          <w:color w:val="000000" w:themeColor="text1"/>
          <w:kern w:val="1"/>
          <w:sz w:val="24"/>
          <w:szCs w:val="24"/>
          <w14:textFill>
            <w14:solidFill>
              <w14:schemeClr w14:val="tx1"/>
            </w14:solidFill>
          </w14:textFill>
        </w:rPr>
        <w:t>。</w:t>
      </w:r>
    </w:p>
    <w:p w14:paraId="0B70F7CE">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5、应急照明采用非集中电源非集中控制系统供电，灯具自带蓄电池，应急照明灯连续供电时间不小于</w:t>
      </w:r>
      <w:r>
        <w:rPr>
          <w:rFonts w:hint="eastAsia" w:ascii="宋体" w:hAnsi="宋体" w:cs="宋体"/>
          <w:color w:val="000000" w:themeColor="text1"/>
          <w:kern w:val="1"/>
          <w:sz w:val="24"/>
          <w:szCs w:val="24"/>
          <w:lang w:val="en-US" w:eastAsia="zh-CN"/>
          <w14:textFill>
            <w14:solidFill>
              <w14:schemeClr w14:val="tx1"/>
            </w14:solidFill>
          </w14:textFill>
        </w:rPr>
        <w:t>3</w:t>
      </w:r>
      <w:r>
        <w:rPr>
          <w:rFonts w:hint="eastAsia" w:ascii="宋体" w:hAnsi="宋体" w:cs="宋体"/>
          <w:color w:val="000000" w:themeColor="text1"/>
          <w:kern w:val="1"/>
          <w:sz w:val="24"/>
          <w:szCs w:val="24"/>
          <w14:textFill>
            <w14:solidFill>
              <w14:schemeClr w14:val="tx1"/>
            </w14:solidFill>
          </w14:textFill>
        </w:rPr>
        <w:t>0+</w:t>
      </w:r>
      <w:r>
        <w:rPr>
          <w:rFonts w:hint="eastAsia" w:ascii="宋体" w:hAnsi="宋体" w:cs="宋体"/>
          <w:color w:val="000000" w:themeColor="text1"/>
          <w:kern w:val="1"/>
          <w:sz w:val="24"/>
          <w:szCs w:val="24"/>
          <w:lang w:val="en-US" w:eastAsia="zh-CN"/>
          <w14:textFill>
            <w14:solidFill>
              <w14:schemeClr w14:val="tx1"/>
            </w14:solidFill>
          </w14:textFill>
        </w:rPr>
        <w:t>1</w:t>
      </w:r>
      <w:r>
        <w:rPr>
          <w:rFonts w:hint="eastAsia" w:ascii="宋体" w:hAnsi="宋体" w:cs="宋体"/>
          <w:color w:val="000000" w:themeColor="text1"/>
          <w:kern w:val="1"/>
          <w:sz w:val="24"/>
          <w:szCs w:val="24"/>
          <w14:textFill>
            <w14:solidFill>
              <w14:schemeClr w14:val="tx1"/>
            </w14:solidFill>
          </w14:textFill>
        </w:rPr>
        <w:t>0分钟。应急照明电源配电箱采用</w:t>
      </w:r>
      <w:r>
        <w:rPr>
          <w:rFonts w:hint="eastAsia" w:ascii="宋体" w:hAnsi="宋体" w:cs="宋体"/>
          <w:color w:val="000000" w:themeColor="text1"/>
          <w:kern w:val="1"/>
          <w:sz w:val="24"/>
          <w:szCs w:val="24"/>
          <w:lang w:val="en-US" w:eastAsia="zh-CN"/>
          <w14:textFill>
            <w14:solidFill>
              <w14:schemeClr w14:val="tx1"/>
            </w14:solidFill>
          </w14:textFill>
        </w:rPr>
        <w:t>单</w:t>
      </w:r>
      <w:r>
        <w:rPr>
          <w:rFonts w:hint="eastAsia" w:ascii="宋体" w:hAnsi="宋体" w:cs="宋体"/>
          <w:color w:val="000000" w:themeColor="text1"/>
          <w:kern w:val="1"/>
          <w:sz w:val="24"/>
          <w:szCs w:val="24"/>
          <w14:textFill>
            <w14:solidFill>
              <w14:schemeClr w14:val="tx1"/>
            </w14:solidFill>
          </w14:textFill>
        </w:rPr>
        <w:t>电源供电，备用照明采用持续型控制方式，平时作正常照明使用，火灾时作备用照明使用。</w:t>
      </w:r>
    </w:p>
    <w:p w14:paraId="7921173F">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6、</w:t>
      </w:r>
      <w:r>
        <w:rPr>
          <w:rFonts w:hint="eastAsia" w:ascii="宋体" w:hAnsi="宋体" w:eastAsia="宋体" w:cs="宋体"/>
          <w:color w:val="000000" w:themeColor="text1"/>
          <w:kern w:val="1"/>
          <w:sz w:val="24"/>
          <w:szCs w:val="24"/>
          <w14:textFill>
            <w14:solidFill>
              <w14:schemeClr w14:val="tx1"/>
            </w14:solidFill>
          </w14:textFill>
        </w:rPr>
        <w:t>本系统为非集中电源、非集中控制型应急照明系统，火灾确认后，应能手动控制系统的应急启动。本系统灯具采用自带蓄电池供电，应能手动操作切断应急照明配电箱的主电源输出，同时控制其配接的所有非持续型照明灯的光源应急点亮、持续型灯具的光源由节电点亮模式转入应急点亮模式。</w:t>
      </w:r>
    </w:p>
    <w:p w14:paraId="46532E1D">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7、配电线路不得穿越通风管道内腔或直接敷设在通风管道外壁上，穿金属导管保护的配电线路可紧贴通风管道外壁敷设。配电线路敷设在有可燃物的闷顶、吊顶内时，应采取穿金属导管、采用封闭式金属槽盒等防火保护措施。</w:t>
      </w:r>
    </w:p>
    <w:p w14:paraId="34ABC58C">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8、开关、插座盒照明灯具靠近可燃物时，应采取隔热、散热等防火措施。</w:t>
      </w:r>
    </w:p>
    <w:p w14:paraId="2E66516E">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9、布线用各种电缆、导管、电缆桥架及母线槽在穿越防火分区楼板、隔墙及防火卷帘上方的防火隔板时，其空隙应采用相当于建筑构件耐火极限的不燃烧材料填塞密实。</w:t>
      </w:r>
    </w:p>
    <w:p w14:paraId="194298DA">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10、人员密集的公共场所，电线缆应选用燃烧性能为B1级、产烟毒性为t1级、燃烧滴落物/微粒等级为d1级的电线电缆。</w:t>
      </w:r>
    </w:p>
    <w:p w14:paraId="3ABB4651">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11、 照明灯具及电气设备、线路的高温部位,当靠近非 A 级装修材料或构件时,应采取隔热、散热等防火保护措施,与窗帘、帷幕、幕布、软包等装修材料的距离不应小于 500mm;灯饰应采用不低于 B1级的材料。</w:t>
      </w:r>
    </w:p>
    <w:p w14:paraId="784B5627">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12、建筑内部的配电箱、控制面板、接线盒、开关、插座等不应直接安装在低于 B级的装修材料上；用于顶棚和墙面装修的木质类板材,当内部含有电器、电线等物体时,应采用不低于 B级的材料。</w:t>
      </w:r>
    </w:p>
    <w:p w14:paraId="0E275B71">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13、在有可燃物闷顶和吊顶内敷设电力线缆时，应采用不然材料的导管或电缆槽盒保护。</w:t>
      </w:r>
    </w:p>
    <w:p w14:paraId="7130C0AB">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14、明敷的导管、电缆桥架，应选择燃烧性能不低于B1级的难燃材料制品或不燃材料制品。</w:t>
      </w:r>
    </w:p>
    <w:p w14:paraId="2E16D6A3">
      <w:pPr>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10、</w:t>
      </w:r>
      <w:r>
        <w:rPr>
          <w:rFonts w:hint="eastAsia" w:ascii="宋体" w:hAnsi="宋体" w:cs="宋体"/>
          <w:b/>
          <w:color w:val="000000" w:themeColor="text1"/>
          <w:sz w:val="24"/>
          <w:szCs w:val="24"/>
          <w:lang w:val="zh-CN"/>
          <w14:textFill>
            <w14:solidFill>
              <w14:schemeClr w14:val="tx1"/>
            </w14:solidFill>
          </w14:textFill>
        </w:rPr>
        <w:t>消防给水及灭火设施</w:t>
      </w:r>
    </w:p>
    <w:p w14:paraId="340287B5">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（一）设计依据</w:t>
      </w:r>
    </w:p>
    <w:p w14:paraId="24B66133">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1) 已审批的初步设计文件及审批意见；</w:t>
      </w:r>
    </w:p>
    <w:p w14:paraId="700AC29E">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2) 建设单位提供的有关资料和设计任务书；</w:t>
      </w:r>
    </w:p>
    <w:p w14:paraId="0120AC8D">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3) 本公司建筑及相关专业提供的有关设计资料；</w:t>
      </w:r>
    </w:p>
    <w:p w14:paraId="08FD1C51">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4) 国家现行的有关规范规程，主要有：</w:t>
      </w:r>
    </w:p>
    <w:p w14:paraId="3B691336">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《建筑设计防火规范》                    (GB 50016-2014，2018年版)</w:t>
      </w:r>
    </w:p>
    <w:p w14:paraId="6DD096C6">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《建筑灭火器配置设计规范》              (GB 50140-2005)</w:t>
      </w:r>
    </w:p>
    <w:p w14:paraId="69801E7E">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《工程建设标准强制性条文》(房屋建筑部分)  (2013年版)</w:t>
      </w:r>
    </w:p>
    <w:p w14:paraId="505272A2">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《消防给水及消火栓系统技术规范》          (GB 50974-2014) </w:t>
      </w:r>
    </w:p>
    <w:p w14:paraId="14EEFE2F">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《建筑机电工程抗震设计规范》              (GB 50981-2014)</w:t>
      </w:r>
    </w:p>
    <w:p w14:paraId="63046A91">
      <w:pPr>
        <w:spacing w:line="360" w:lineRule="auto"/>
        <w:ind w:firstLine="480" w:firstLineChars="200"/>
        <w:rPr>
          <w:rFonts w:hint="eastAsia"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《消防设施通用规范》                      GB55036-2022</w:t>
      </w:r>
    </w:p>
    <w:p w14:paraId="62CB0CDF">
      <w:pPr>
        <w:spacing w:line="360" w:lineRule="auto"/>
        <w:ind w:firstLine="480" w:firstLineChars="200"/>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《建筑防火通用规范》</w:t>
      </w:r>
      <w:r>
        <w:rPr>
          <w:rFonts w:hint="eastAsia" w:ascii="宋体" w:hAnsi="宋体" w:cs="宋体"/>
          <w:color w:val="000000" w:themeColor="text1"/>
          <w:sz w:val="24"/>
          <w:szCs w:val="24"/>
          <w:lang w:val="en-US" w:eastAsia="zh-CN"/>
          <w14:textFill>
            <w14:solidFill>
              <w14:schemeClr w14:val="tx1"/>
            </w14:solidFill>
          </w14:textFill>
        </w:rPr>
        <w:t xml:space="preserve">                      GB55037-2022</w:t>
      </w:r>
    </w:p>
    <w:p w14:paraId="42E1E61B">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（二）设计范围</w:t>
      </w:r>
    </w:p>
    <w:p w14:paraId="4D65C97D">
      <w:pPr>
        <w:spacing w:line="360" w:lineRule="auto"/>
        <w:ind w:firstLine="56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本次设计为</w:t>
      </w:r>
      <w:r>
        <w:rPr>
          <w:rFonts w:hint="eastAsia" w:ascii="宋体" w:hAnsi="宋体" w:cs="宋体"/>
          <w:color w:val="000000" w:themeColor="text1"/>
          <w:kern w:val="1"/>
          <w:sz w:val="24"/>
          <w:szCs w:val="24"/>
          <w:lang w:eastAsia="zh-CN"/>
          <w14:textFill>
            <w14:solidFill>
              <w14:schemeClr w14:val="tx1"/>
            </w14:solidFill>
          </w14:textFill>
        </w:rPr>
        <w:t>厂房</w:t>
      </w:r>
      <w:r>
        <w:rPr>
          <w:rFonts w:hint="eastAsia" w:ascii="宋体" w:hAnsi="宋体" w:cs="宋体"/>
          <w:color w:val="000000" w:themeColor="text1"/>
          <w:kern w:val="1"/>
          <w:sz w:val="24"/>
          <w:szCs w:val="24"/>
          <w14:textFill>
            <w14:solidFill>
              <w14:schemeClr w14:val="tx1"/>
            </w14:solidFill>
          </w14:textFill>
        </w:rPr>
        <w:t>的室内、外消防设计。</w:t>
      </w:r>
    </w:p>
    <w:p w14:paraId="6505F877">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（三）消防水量</w:t>
      </w:r>
    </w:p>
    <w:p w14:paraId="334A51F8">
      <w:pPr>
        <w:spacing w:line="360" w:lineRule="auto"/>
        <w:ind w:firstLine="480" w:firstLineChars="200"/>
        <w:outlineLvl w:val="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 本项目室外消火栓用水量</w:t>
      </w:r>
      <w:r>
        <w:rPr>
          <w:rFonts w:hint="eastAsia" w:ascii="宋体" w:hAnsi="宋体" w:cs="宋体"/>
          <w:color w:val="000000" w:themeColor="text1"/>
          <w:kern w:val="1"/>
          <w:sz w:val="24"/>
          <w:szCs w:val="24"/>
          <w:lang w:val="en-US" w:eastAsia="zh-CN"/>
          <w14:textFill>
            <w14:solidFill>
              <w14:schemeClr w14:val="tx1"/>
            </w14:solidFill>
          </w14:textFill>
        </w:rPr>
        <w:t>15</w:t>
      </w:r>
      <w:r>
        <w:rPr>
          <w:rFonts w:hint="eastAsia" w:ascii="宋体" w:hAnsi="宋体" w:cs="宋体"/>
          <w:color w:val="000000" w:themeColor="text1"/>
          <w:kern w:val="1"/>
          <w:sz w:val="24"/>
          <w:szCs w:val="24"/>
          <w14:textFill>
            <w14:solidFill>
              <w14:schemeClr w14:val="tx1"/>
            </w14:solidFill>
          </w14:textFill>
        </w:rPr>
        <w:t>L/s。</w:t>
      </w:r>
    </w:p>
    <w:p w14:paraId="72539CDA">
      <w:pPr>
        <w:spacing w:line="360" w:lineRule="auto"/>
        <w:ind w:firstLine="480" w:firstLineChars="200"/>
        <w:outlineLvl w:val="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(2) 火灾次数按一次计，消防用水量为1</w:t>
      </w:r>
      <w:r>
        <w:rPr>
          <w:rFonts w:hint="eastAsia" w:ascii="宋体" w:hAnsi="宋体" w:cs="宋体"/>
          <w:color w:val="000000" w:themeColor="text1"/>
          <w:kern w:val="1"/>
          <w:sz w:val="24"/>
          <w:szCs w:val="24"/>
          <w:lang w:val="en-US" w:eastAsia="zh-CN"/>
          <w14:textFill>
            <w14:solidFill>
              <w14:schemeClr w14:val="tx1"/>
            </w14:solidFill>
          </w14:textFill>
        </w:rPr>
        <w:t>08</w:t>
      </w:r>
      <w:r>
        <w:rPr>
          <w:rFonts w:hint="eastAsia" w:ascii="宋体" w:hAnsi="宋体" w:cs="宋体"/>
          <w:color w:val="000000" w:themeColor="text1"/>
          <w:kern w:val="1"/>
          <w:sz w:val="24"/>
          <w:szCs w:val="24"/>
          <w14:textFill>
            <w14:solidFill>
              <w14:schemeClr w14:val="tx1"/>
            </w14:solidFill>
          </w14:textFill>
        </w:rPr>
        <w:t>立方米。</w:t>
      </w:r>
    </w:p>
    <w:p w14:paraId="006DC0A4">
      <w:pPr>
        <w:spacing w:line="360" w:lineRule="auto"/>
        <w:ind w:left="840" w:hanging="840"/>
        <w:outlineLvl w:val="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（四）室外消防系室统</w:t>
      </w:r>
    </w:p>
    <w:p w14:paraId="42860AEE">
      <w:pPr>
        <w:spacing w:line="360" w:lineRule="auto"/>
        <w:ind w:firstLine="480" w:firstLineChars="20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 室外消防采用常低压给水系统，消防用水由市政给水环管供水,</w:t>
      </w:r>
      <w:r>
        <w:rPr>
          <w:rFonts w:hint="eastAsia"/>
        </w:rPr>
        <w:t xml:space="preserve"> </w:t>
      </w:r>
      <w:r>
        <w:rPr>
          <w:rFonts w:hint="eastAsia" w:ascii="宋体" w:hAnsi="宋体" w:cs="宋体"/>
          <w:color w:val="000000" w:themeColor="text1"/>
          <w:kern w:val="1"/>
          <w:sz w:val="24"/>
          <w:szCs w:val="24"/>
          <w14:textFill>
            <w14:solidFill>
              <w14:schemeClr w14:val="tx1"/>
            </w14:solidFill>
          </w14:textFill>
        </w:rPr>
        <w:t>市政自来水供水压力0.3MPa，其平时运行工作压力不应小于0.14MPa，火灾时水力最不利市政消火栓的出流量不应小于15L/s，且供水压力从地面算起不应小于0.10MPa。</w:t>
      </w:r>
    </w:p>
    <w:p w14:paraId="7F0D78C0">
      <w:pPr>
        <w:spacing w:line="360" w:lineRule="auto"/>
        <w:ind w:firstLine="480" w:firstLineChars="20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(2) </w:t>
      </w:r>
      <w:r>
        <w:rPr>
          <w:rFonts w:hint="eastAsia" w:ascii="宋体" w:hAnsi="宋体" w:cs="宋体"/>
          <w:color w:val="000000" w:themeColor="text1"/>
          <w:sz w:val="24"/>
          <w:szCs w:val="24"/>
          <w14:textFill>
            <w14:solidFill>
              <w14:schemeClr w14:val="tx1"/>
            </w14:solidFill>
          </w14:textFill>
        </w:rPr>
        <w:t>室外消防用水量为</w:t>
      </w:r>
      <w:r>
        <w:rPr>
          <w:rFonts w:hint="eastAsia" w:ascii="宋体" w:hAnsi="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14:textFill>
            <w14:solidFill>
              <w14:schemeClr w14:val="tx1"/>
            </w14:solidFill>
          </w14:textFill>
        </w:rPr>
        <w:t>5L/s，火灾延续时间为2h，设计用水量1</w:t>
      </w:r>
      <w:r>
        <w:rPr>
          <w:rFonts w:hint="eastAsia" w:ascii="宋体" w:hAnsi="宋体" w:cs="宋体"/>
          <w:color w:val="000000" w:themeColor="text1"/>
          <w:sz w:val="24"/>
          <w:szCs w:val="24"/>
          <w:lang w:val="en-US" w:eastAsia="zh-CN"/>
          <w14:textFill>
            <w14:solidFill>
              <w14:schemeClr w14:val="tx1"/>
            </w14:solidFill>
          </w14:textFill>
        </w:rPr>
        <w:t>08</w:t>
      </w:r>
      <w:r>
        <w:rPr>
          <w:rFonts w:hint="eastAsia" w:ascii="宋体" w:hAnsi="宋体" w:cs="宋体"/>
          <w:color w:val="000000" w:themeColor="text1"/>
          <w:sz w:val="24"/>
          <w:szCs w:val="24"/>
          <w14:textFill>
            <w14:solidFill>
              <w14:schemeClr w14:val="tx1"/>
            </w14:solidFill>
          </w14:textFill>
        </w:rPr>
        <w:t>m3。</w:t>
      </w:r>
    </w:p>
    <w:p w14:paraId="3B0C7228">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(3) 共设有</w:t>
      </w:r>
      <w:r>
        <w:rPr>
          <w:rFonts w:hint="eastAsia" w:ascii="宋体" w:hAnsi="宋体" w:cs="宋体"/>
          <w:color w:val="000000" w:themeColor="text1"/>
          <w:kern w:val="1"/>
          <w:sz w:val="24"/>
          <w:szCs w:val="24"/>
          <w:lang w:val="en-US" w:eastAsia="zh-CN"/>
          <w14:textFill>
            <w14:solidFill>
              <w14:schemeClr w14:val="tx1"/>
            </w14:solidFill>
          </w14:textFill>
        </w:rPr>
        <w:t>7</w:t>
      </w:r>
      <w:r>
        <w:rPr>
          <w:rFonts w:hint="eastAsia" w:ascii="宋体" w:hAnsi="宋体" w:cs="宋体"/>
          <w:color w:val="000000" w:themeColor="text1"/>
          <w:kern w:val="1"/>
          <w:sz w:val="24"/>
          <w:szCs w:val="24"/>
          <w14:textFill>
            <w14:solidFill>
              <w14:schemeClr w14:val="tx1"/>
            </w14:solidFill>
          </w14:textFill>
        </w:rPr>
        <w:t>套室外地上式消火栓，其间距不超过120m，距道路边不大于2.0m，距建筑物外墙不小于5.0m。</w:t>
      </w:r>
    </w:p>
    <w:p w14:paraId="0ED863E9">
      <w:pPr>
        <w:spacing w:line="360" w:lineRule="auto"/>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 xml:space="preserve">    (4) 室外消火栓给水系统成环布置，管径为DN1</w:t>
      </w:r>
      <w:r>
        <w:rPr>
          <w:rFonts w:hint="eastAsia" w:ascii="宋体" w:hAnsi="宋体" w:cs="宋体"/>
          <w:color w:val="000000" w:themeColor="text1"/>
          <w:kern w:val="1"/>
          <w:sz w:val="24"/>
          <w:szCs w:val="24"/>
          <w:lang w:val="en-US" w:eastAsia="zh-CN"/>
          <w14:textFill>
            <w14:solidFill>
              <w14:schemeClr w14:val="tx1"/>
            </w14:solidFill>
          </w14:textFill>
        </w:rPr>
        <w:t>5</w:t>
      </w:r>
      <w:r>
        <w:rPr>
          <w:rFonts w:hint="eastAsia" w:ascii="宋体" w:hAnsi="宋体" w:cs="宋体"/>
          <w:color w:val="000000" w:themeColor="text1"/>
          <w:kern w:val="1"/>
          <w:sz w:val="24"/>
          <w:szCs w:val="24"/>
          <w14:textFill>
            <w14:solidFill>
              <w14:schemeClr w14:val="tx1"/>
            </w14:solidFill>
          </w14:textFill>
        </w:rPr>
        <w:t>0。</w:t>
      </w:r>
    </w:p>
    <w:p w14:paraId="2CC34856">
      <w:pPr>
        <w:spacing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（五）灭火器配置</w:t>
      </w:r>
    </w:p>
    <w:p w14:paraId="00936F30">
      <w:pPr>
        <w:spacing w:line="360" w:lineRule="auto"/>
        <w:ind w:firstLine="480" w:firstLineChars="200"/>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根据《建筑灭火器配置设计规范》(GB50140-2005)，以一个楼层或一个防火；分区为计算单元，按照以下原则配置灭火器：</w:t>
      </w:r>
    </w:p>
    <w:tbl>
      <w:tblPr>
        <w:tblStyle w:val="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858"/>
        <w:gridCol w:w="1194"/>
        <w:gridCol w:w="1451"/>
        <w:gridCol w:w="1973"/>
        <w:gridCol w:w="2086"/>
      </w:tblGrid>
      <w:tr w14:paraId="6942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74B10BB8">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序号</w:t>
            </w:r>
          </w:p>
        </w:tc>
        <w:tc>
          <w:tcPr>
            <w:tcW w:w="1858" w:type="dxa"/>
          </w:tcPr>
          <w:p w14:paraId="5FC94CED">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建筑名称</w:t>
            </w:r>
          </w:p>
        </w:tc>
        <w:tc>
          <w:tcPr>
            <w:tcW w:w="1194" w:type="dxa"/>
          </w:tcPr>
          <w:p w14:paraId="6F46C172">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火灾种类</w:t>
            </w:r>
          </w:p>
        </w:tc>
        <w:tc>
          <w:tcPr>
            <w:tcW w:w="1451" w:type="dxa"/>
          </w:tcPr>
          <w:p w14:paraId="0BBF7ABE">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危险等级</w:t>
            </w:r>
          </w:p>
        </w:tc>
        <w:tc>
          <w:tcPr>
            <w:tcW w:w="1973" w:type="dxa"/>
          </w:tcPr>
          <w:p w14:paraId="6F7FB83C">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最大保护距离(m)</w:t>
            </w:r>
          </w:p>
        </w:tc>
        <w:tc>
          <w:tcPr>
            <w:tcW w:w="2086" w:type="dxa"/>
          </w:tcPr>
          <w:p w14:paraId="2EF74F60">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灭火器类型规格</w:t>
            </w:r>
          </w:p>
        </w:tc>
      </w:tr>
      <w:tr w14:paraId="0DDE5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 w:type="dxa"/>
          </w:tcPr>
          <w:p w14:paraId="374F1CA7">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1</w:t>
            </w:r>
          </w:p>
        </w:tc>
        <w:tc>
          <w:tcPr>
            <w:tcW w:w="1858" w:type="dxa"/>
          </w:tcPr>
          <w:p w14:paraId="5297F80F">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lang w:eastAsia="zh-CN"/>
                <w14:textFill>
                  <w14:solidFill>
                    <w14:schemeClr w14:val="tx1"/>
                  </w14:solidFill>
                </w14:textFill>
              </w:rPr>
              <w:t>厂房</w:t>
            </w:r>
          </w:p>
        </w:tc>
        <w:tc>
          <w:tcPr>
            <w:tcW w:w="1194" w:type="dxa"/>
          </w:tcPr>
          <w:p w14:paraId="20379737">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A类</w:t>
            </w:r>
          </w:p>
        </w:tc>
        <w:tc>
          <w:tcPr>
            <w:tcW w:w="1451" w:type="dxa"/>
          </w:tcPr>
          <w:p w14:paraId="08368F7F">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中危险级</w:t>
            </w:r>
          </w:p>
        </w:tc>
        <w:tc>
          <w:tcPr>
            <w:tcW w:w="1973" w:type="dxa"/>
          </w:tcPr>
          <w:p w14:paraId="611D2C6E">
            <w:pPr>
              <w:spacing w:line="360" w:lineRule="auto"/>
              <w:jc w:val="center"/>
              <w:rPr>
                <w:rFonts w:ascii="宋体" w:hAnsi="宋体" w:cs="宋体"/>
                <w:color w:val="000000" w:themeColor="text1"/>
                <w:kern w:val="1"/>
                <w:sz w:val="24"/>
                <w:szCs w:val="24"/>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20</w:t>
            </w:r>
          </w:p>
        </w:tc>
        <w:tc>
          <w:tcPr>
            <w:tcW w:w="2086" w:type="dxa"/>
          </w:tcPr>
          <w:p w14:paraId="6C0EF1E6">
            <w:pPr>
              <w:spacing w:line="360" w:lineRule="auto"/>
              <w:jc w:val="center"/>
              <w:rPr>
                <w:rFonts w:hint="eastAsia" w:ascii="宋体" w:hAnsi="宋体" w:eastAsia="宋体" w:cs="宋体"/>
                <w:color w:val="000000" w:themeColor="text1"/>
                <w:kern w:val="1"/>
                <w:sz w:val="24"/>
                <w:szCs w:val="24"/>
                <w:lang w:val="en-US" w:eastAsia="zh-CN"/>
                <w14:textFill>
                  <w14:solidFill>
                    <w14:schemeClr w14:val="tx1"/>
                  </w14:solidFill>
                </w14:textFill>
              </w:rPr>
            </w:pPr>
            <w:r>
              <w:rPr>
                <w:rFonts w:hint="eastAsia" w:ascii="宋体" w:hAnsi="宋体" w:cs="宋体"/>
                <w:color w:val="000000" w:themeColor="text1"/>
                <w:kern w:val="1"/>
                <w:sz w:val="24"/>
                <w:szCs w:val="24"/>
                <w14:textFill>
                  <w14:solidFill>
                    <w14:schemeClr w14:val="tx1"/>
                  </w14:solidFill>
                </w14:textFill>
              </w:rPr>
              <w:t>MF/ABC</w:t>
            </w:r>
            <w:r>
              <w:rPr>
                <w:rFonts w:hint="eastAsia" w:ascii="宋体" w:hAnsi="宋体" w:cs="宋体"/>
                <w:color w:val="000000" w:themeColor="text1"/>
                <w:kern w:val="1"/>
                <w:sz w:val="24"/>
                <w:szCs w:val="24"/>
                <w:lang w:val="en-US" w:eastAsia="zh-CN"/>
                <w14:textFill>
                  <w14:solidFill>
                    <w14:schemeClr w14:val="tx1"/>
                  </w14:solidFill>
                </w14:textFill>
              </w:rPr>
              <w:t>3</w:t>
            </w:r>
          </w:p>
        </w:tc>
      </w:tr>
    </w:tbl>
    <w:p w14:paraId="27F74651">
      <w:pPr>
        <w:spacing w:line="360" w:lineRule="auto"/>
        <w:rPr>
          <w:rFonts w:ascii="宋体" w:hAnsi="宋体" w:cs="宋体"/>
          <w:color w:val="000000" w:themeColor="text1"/>
          <w:kern w:val="1"/>
          <w:sz w:val="24"/>
          <w:szCs w:val="24"/>
          <w14:textFill>
            <w14:solidFill>
              <w14:schemeClr w14:val="tx1"/>
            </w14:solidFill>
          </w14:textFill>
        </w:rPr>
      </w:pPr>
    </w:p>
    <w:p w14:paraId="181A93E6">
      <w:pPr>
        <w:spacing w:line="360" w:lineRule="auto"/>
        <w:ind w:firstLine="360" w:firstLineChars="150"/>
        <w:rPr>
          <w:rFonts w:ascii="宋体" w:hAnsi="宋体" w:cs="宋体"/>
          <w:color w:val="000000" w:themeColor="text1"/>
          <w:sz w:val="24"/>
          <w:szCs w:val="24"/>
          <w14:textFill>
            <w14:solidFill>
              <w14:schemeClr w14:val="tx1"/>
            </w14:solidFill>
          </w14:textFill>
        </w:rPr>
      </w:pPr>
    </w:p>
    <w:p w14:paraId="0D99FB85">
      <w:pPr>
        <w:spacing w:line="360" w:lineRule="auto"/>
        <w:ind w:firstLine="360" w:firstLineChars="150"/>
        <w:rPr>
          <w:rFonts w:ascii="宋体" w:hAnsi="宋体" w:cs="宋体"/>
          <w:color w:val="000000" w:themeColor="text1"/>
          <w:sz w:val="24"/>
          <w:szCs w:val="24"/>
          <w14:textFill>
            <w14:solidFill>
              <w14:schemeClr w14:val="tx1"/>
            </w14:solidFill>
          </w14:textFill>
        </w:rPr>
      </w:pPr>
    </w:p>
    <w:p w14:paraId="1385781C">
      <w:pPr>
        <w:snapToGrid w:val="0"/>
        <w:spacing w:line="360" w:lineRule="auto"/>
        <w:jc w:val="left"/>
        <w:rPr>
          <w:rFonts w:ascii="宋体" w:hAnsi="宋体" w:cs="宋体"/>
          <w:b/>
          <w:color w:val="000000" w:themeColor="text1"/>
          <w:sz w:val="24"/>
          <w:szCs w:val="24"/>
          <w:lang w:val="zh-CN"/>
          <w14:textFill>
            <w14:solidFill>
              <w14:schemeClr w14:val="tx1"/>
            </w14:solidFill>
          </w14:textFill>
        </w:rPr>
      </w:pPr>
    </w:p>
    <w:p w14:paraId="3526D220">
      <w:pPr>
        <w:spacing w:line="360" w:lineRule="auto"/>
        <w:jc w:val="left"/>
        <w:rPr>
          <w:rFonts w:ascii="宋体" w:hAnsi="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14:textFill>
            <w14:solidFill>
              <w14:schemeClr w14:val="tx1"/>
            </w14:solidFill>
          </w14:textFill>
        </w:rPr>
        <w:t>11、</w:t>
      </w:r>
      <w:r>
        <w:rPr>
          <w:rFonts w:hint="eastAsia" w:ascii="宋体" w:hAnsi="宋体" w:cs="宋体"/>
          <w:b/>
          <w:color w:val="000000" w:themeColor="text1"/>
          <w:sz w:val="24"/>
          <w:szCs w:val="24"/>
          <w:lang w:val="zh-CN"/>
          <w14:textFill>
            <w14:solidFill>
              <w14:schemeClr w14:val="tx1"/>
            </w14:solidFill>
          </w14:textFill>
        </w:rPr>
        <w:t>防排烟、通风系统消防设计</w:t>
      </w:r>
    </w:p>
    <w:p w14:paraId="258E831D">
      <w:pPr>
        <w:snapToGrid w:val="0"/>
        <w:spacing w:line="360" w:lineRule="auto"/>
        <w:rPr>
          <w:rStyle w:val="23"/>
          <w:rFonts w:ascii="宋体" w:hAnsi="宋体" w:cs="宋体"/>
          <w:color w:val="000000" w:themeColor="text1"/>
          <w:kern w:val="1"/>
          <w:sz w:val="24"/>
          <w:szCs w:val="24"/>
          <w14:textFill>
            <w14:solidFill>
              <w14:schemeClr w14:val="tx1"/>
            </w14:solidFill>
          </w14:textFill>
        </w:rPr>
      </w:pPr>
      <w:r>
        <w:rPr>
          <w:rStyle w:val="23"/>
          <w:rFonts w:hint="eastAsia" w:ascii="宋体" w:hAnsi="宋体" w:cs="宋体"/>
          <w:color w:val="000000" w:themeColor="text1"/>
          <w:kern w:val="1"/>
          <w:sz w:val="24"/>
          <w:szCs w:val="24"/>
          <w14:textFill>
            <w14:solidFill>
              <w14:schemeClr w14:val="tx1"/>
            </w14:solidFill>
          </w14:textFill>
        </w:rPr>
        <w:t>（一）设计依据</w:t>
      </w:r>
    </w:p>
    <w:p w14:paraId="4E0DDE03">
      <w:pPr>
        <w:snapToGrid w:val="0"/>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《建筑防烟排烟系统技术标准》（GB51251-2017）</w:t>
      </w:r>
    </w:p>
    <w:p w14:paraId="657D56CC">
      <w:pPr>
        <w:snapToGrid w:val="0"/>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《建筑设计防火规范》（GB50016-2014）（2018版）</w:t>
      </w:r>
    </w:p>
    <w:p w14:paraId="66EA3F37">
      <w:pPr>
        <w:snapToGrid w:val="0"/>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《通风与空调工程施工质量验收规范》（GB50243-2016）</w:t>
      </w:r>
    </w:p>
    <w:p w14:paraId="4B0A16E4">
      <w:pPr>
        <w:snapToGrid w:val="0"/>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《民用建筑供暖通风与空气调节设计规范》（GB50736-2012）</w:t>
      </w:r>
    </w:p>
    <w:p w14:paraId="720E9395">
      <w:pPr>
        <w:snapToGrid w:val="0"/>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《消防设施通用规范》（GB55036-2022）</w:t>
      </w:r>
    </w:p>
    <w:p w14:paraId="2E9E4DE3">
      <w:pPr>
        <w:snapToGrid w:val="0"/>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《建筑防火通用规范》GB55037-2022进行设计。</w:t>
      </w:r>
    </w:p>
    <w:p w14:paraId="232999CA">
      <w:pPr>
        <w:snapToGrid w:val="0"/>
        <w:spacing w:line="360" w:lineRule="auto"/>
        <w:rPr>
          <w:rStyle w:val="23"/>
          <w:rFonts w:ascii="宋体" w:hAnsi="宋体" w:cs="宋体"/>
          <w:color w:val="000000" w:themeColor="text1"/>
          <w:kern w:val="1"/>
          <w:sz w:val="24"/>
          <w:szCs w:val="24"/>
          <w14:textFill>
            <w14:solidFill>
              <w14:schemeClr w14:val="tx1"/>
            </w14:solidFill>
          </w14:textFill>
        </w:rPr>
      </w:pPr>
      <w:r>
        <w:rPr>
          <w:rStyle w:val="23"/>
          <w:rFonts w:hint="eastAsia" w:ascii="宋体" w:hAnsi="宋体" w:cs="宋体"/>
          <w:color w:val="000000" w:themeColor="text1"/>
          <w:kern w:val="1"/>
          <w:sz w:val="24"/>
          <w:szCs w:val="24"/>
          <w14:textFill>
            <w14:solidFill>
              <w14:schemeClr w14:val="tx1"/>
            </w14:solidFill>
          </w14:textFill>
        </w:rPr>
        <w:t>（二）设计范围</w:t>
      </w:r>
    </w:p>
    <w:p w14:paraId="42CC8DA7">
      <w:pPr>
        <w:snapToGrid w:val="0"/>
        <w:spacing w:line="360" w:lineRule="auto"/>
        <w:rPr>
          <w:rStyle w:val="23"/>
          <w:rFonts w:ascii="宋体" w:hAnsi="宋体" w:cs="宋体"/>
          <w:color w:val="000000" w:themeColor="text1"/>
          <w:kern w:val="1"/>
          <w:sz w:val="24"/>
          <w:szCs w:val="24"/>
          <w14:textFill>
            <w14:solidFill>
              <w14:schemeClr w14:val="tx1"/>
            </w14:solidFill>
          </w14:textFill>
        </w:rPr>
      </w:pPr>
      <w:r>
        <w:rPr>
          <w:rStyle w:val="23"/>
          <w:rFonts w:hint="eastAsia" w:ascii="宋体" w:hAnsi="宋体" w:cs="宋体"/>
          <w:color w:val="000000" w:themeColor="text1"/>
          <w:kern w:val="1"/>
          <w:sz w:val="24"/>
          <w:szCs w:val="24"/>
          <w14:textFill>
            <w14:solidFill>
              <w14:schemeClr w14:val="tx1"/>
            </w14:solidFill>
          </w14:textFill>
        </w:rPr>
        <w:t xml:space="preserve">    建筑的防排烟与通风系统设计</w:t>
      </w:r>
    </w:p>
    <w:p w14:paraId="773E00C9">
      <w:pPr>
        <w:snapToGrid w:val="0"/>
        <w:spacing w:line="360" w:lineRule="auto"/>
        <w:rPr>
          <w:rStyle w:val="23"/>
          <w:rFonts w:ascii="宋体" w:hAnsi="宋体" w:cs="宋体"/>
          <w:color w:val="000000" w:themeColor="text1"/>
          <w:kern w:val="1"/>
          <w:sz w:val="24"/>
          <w:szCs w:val="24"/>
          <w14:textFill>
            <w14:solidFill>
              <w14:schemeClr w14:val="tx1"/>
            </w14:solidFill>
          </w14:textFill>
        </w:rPr>
      </w:pPr>
      <w:r>
        <w:rPr>
          <w:rStyle w:val="23"/>
          <w:rFonts w:hint="eastAsia" w:ascii="宋体" w:hAnsi="宋体" w:cs="宋体"/>
          <w:color w:val="000000" w:themeColor="text1"/>
          <w:kern w:val="1"/>
          <w:sz w:val="24"/>
          <w:szCs w:val="24"/>
          <w14:textFill>
            <w14:solidFill>
              <w14:schemeClr w14:val="tx1"/>
            </w14:solidFill>
          </w14:textFill>
        </w:rPr>
        <w:t>（三）防排烟系统</w:t>
      </w:r>
    </w:p>
    <w:p w14:paraId="348E6850">
      <w:pPr>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 xml:space="preserve">1、厂房二最高位置设有不小于 1 平方米可开启外窗，满足自然通风要求，采用自然通风方式。 </w:t>
      </w:r>
    </w:p>
    <w:p w14:paraId="6F883B5F">
      <w:pPr>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lang w:val="en-US" w:eastAsia="zh-CN"/>
          <w14:textFill>
            <w14:solidFill>
              <w14:schemeClr w14:val="tx1"/>
            </w14:solidFill>
          </w14:textFill>
        </w:rPr>
        <w:t>2</w:t>
      </w:r>
      <w:r>
        <w:rPr>
          <w:rStyle w:val="23"/>
          <w:rFonts w:hint="eastAsia" w:ascii="宋体" w:hAnsi="宋体" w:cs="宋体"/>
          <w:color w:val="000000" w:themeColor="text1"/>
          <w:sz w:val="24"/>
          <w:szCs w:val="24"/>
          <w14:textFill>
            <w14:solidFill>
              <w14:schemeClr w14:val="tx1"/>
            </w14:solidFill>
          </w14:textFill>
        </w:rPr>
        <w:t xml:space="preserve">、各房间均有可开启外窗，可开启外窗面积满足自然排烟要求，采用自 </w:t>
      </w:r>
    </w:p>
    <w:p w14:paraId="4E6D22DB">
      <w:pPr>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14:textFill>
            <w14:solidFill>
              <w14:schemeClr w14:val="tx1"/>
            </w14:solidFill>
          </w14:textFill>
        </w:rPr>
        <w:t xml:space="preserve">然排烟方式。 </w:t>
      </w:r>
    </w:p>
    <w:p w14:paraId="7FA86A7D">
      <w:pPr>
        <w:spacing w:line="360" w:lineRule="auto"/>
        <w:ind w:firstLine="480" w:firstLineChars="200"/>
        <w:rPr>
          <w:rStyle w:val="23"/>
          <w:rFonts w:hint="eastAsia" w:ascii="宋体" w:hAnsi="宋体" w:cs="宋体"/>
          <w:color w:val="000000" w:themeColor="text1"/>
          <w:sz w:val="24"/>
          <w:szCs w:val="24"/>
          <w14:textFill>
            <w14:solidFill>
              <w14:schemeClr w14:val="tx1"/>
            </w14:solidFill>
          </w14:textFill>
        </w:rPr>
      </w:pPr>
      <w:r>
        <w:rPr>
          <w:rStyle w:val="23"/>
          <w:rFonts w:hint="eastAsia" w:ascii="宋体" w:hAnsi="宋体" w:cs="宋体"/>
          <w:color w:val="000000" w:themeColor="text1"/>
          <w:sz w:val="24"/>
          <w:szCs w:val="24"/>
          <w:lang w:val="en-US" w:eastAsia="zh-CN"/>
          <w14:textFill>
            <w14:solidFill>
              <w14:schemeClr w14:val="tx1"/>
            </w14:solidFill>
          </w14:textFill>
        </w:rPr>
        <w:t>3</w:t>
      </w:r>
      <w:r>
        <w:rPr>
          <w:rStyle w:val="23"/>
          <w:rFonts w:hint="eastAsia" w:ascii="宋体" w:hAnsi="宋体" w:cs="宋体"/>
          <w:color w:val="000000" w:themeColor="text1"/>
          <w:sz w:val="24"/>
          <w:szCs w:val="24"/>
          <w14:textFill>
            <w14:solidFill>
              <w14:schemeClr w14:val="tx1"/>
            </w14:solidFill>
          </w14:textFill>
        </w:rPr>
        <w:t>、各外走道均满足自然排烟要求，采用自然排烟方式。</w:t>
      </w:r>
    </w:p>
    <w:sectPr>
      <w:headerReference r:id="rId3" w:type="default"/>
      <w:footerReference r:id="rId4" w:type="default"/>
      <w:footerReference r:id="rId5" w:type="even"/>
      <w:pgSz w:w="11907" w:h="16840"/>
      <w:pgMar w:top="1418" w:right="1361" w:bottom="1361" w:left="1418" w:header="851" w:footer="992" w:gutter="0"/>
      <w:pgNumType w:start="0"/>
      <w:cols w:space="720" w:num="1"/>
      <w:titlePg/>
      <w:docGrid w:type="lines" w:linePitch="312" w:charSpace="725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ggj">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69D47">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separate"/>
    </w:r>
    <w:r>
      <w:rPr>
        <w:rStyle w:val="13"/>
      </w:rPr>
      <w:t>10</w:t>
    </w:r>
    <w:r>
      <w:rPr>
        <w:rStyle w:val="13"/>
      </w:rPr>
      <w:fldChar w:fldCharType="end"/>
    </w:r>
  </w:p>
  <w:p w14:paraId="5B0EE218">
    <w:pPr>
      <w:pStyle w:val="6"/>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E1F24">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separate"/>
    </w:r>
    <w:r>
      <w:rPr>
        <w:rStyle w:val="13"/>
      </w:rPr>
      <w:t>15</w:t>
    </w:r>
    <w:r>
      <w:rPr>
        <w:rStyle w:val="13"/>
      </w:rPr>
      <w:fldChar w:fldCharType="end"/>
    </w:r>
  </w:p>
  <w:p w14:paraId="11C78EDA">
    <w:pPr>
      <w:pStyle w:val="6"/>
      <w:ind w:right="360"/>
    </w:pPr>
  </w:p>
  <w:p w14:paraId="145A8837"/>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36156">
    <w:pPr>
      <w:pStyle w:val="7"/>
      <w:pBdr>
        <w:bottom w:val="none" w:color="auto" w:sz="0" w:space="0"/>
      </w:pBdr>
      <w:jc w:val="left"/>
      <w:rPr>
        <w:rFonts w:ascii="宋体"/>
        <w:sz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5B07E"/>
    <w:multiLevelType w:val="singleLevel"/>
    <w:tmpl w:val="8755B07E"/>
    <w:lvl w:ilvl="0" w:tentative="0">
      <w:start w:val="7"/>
      <w:numFmt w:val="decimal"/>
      <w:suff w:val="nothing"/>
      <w:lvlText w:val="（%1）"/>
      <w:lvlJc w:val="left"/>
    </w:lvl>
  </w:abstractNum>
  <w:abstractNum w:abstractNumId="1">
    <w:nsid w:val="0000000A"/>
    <w:multiLevelType w:val="multilevel"/>
    <w:tmpl w:val="0000000A"/>
    <w:lvl w:ilvl="0" w:tentative="0">
      <w:start w:val="4"/>
      <w:numFmt w:val="chineseCountingThousand"/>
      <w:lvlText w:val="%1."/>
      <w:lvlJc w:val="left"/>
      <w:rPr>
        <w:rFonts w:cs="Times New Roman"/>
      </w:rPr>
    </w:lvl>
    <w:lvl w:ilvl="1" w:tentative="0">
      <w:start w:val="1"/>
      <w:numFmt w:val="decimal"/>
      <w:pStyle w:val="4"/>
      <w:lvlText w:val="%1.%2"/>
      <w:lvlJc w:val="left"/>
      <w:rPr>
        <w:rFonts w:cs="Times New Roman"/>
      </w:rPr>
    </w:lvl>
    <w:lvl w:ilvl="2" w:tentative="0">
      <w:start w:val="1"/>
      <w:numFmt w:val="decimal"/>
      <w:lvlText w:val="%1.%2.%3"/>
      <w:lvlJc w:val="left"/>
      <w:rPr>
        <w:rFonts w:cs="Times New Roman"/>
      </w:rPr>
    </w:lvl>
    <w:lvl w:ilvl="3" w:tentative="0">
      <w:start w:val="1"/>
      <w:numFmt w:val="decimal"/>
      <w:lvlText w:val="%1.%2.%3.%4"/>
      <w:lvlJc w:val="left"/>
      <w:rPr>
        <w:rFonts w:cs="Times New Roman"/>
      </w:rPr>
    </w:lvl>
    <w:lvl w:ilvl="4" w:tentative="0">
      <w:start w:val="1"/>
      <w:numFmt w:val="decimal"/>
      <w:lvlText w:val="%1.%2.%3.%4.%5"/>
      <w:lvlJc w:val="left"/>
      <w:rPr>
        <w:rFonts w:cs="Times New Roman"/>
      </w:rPr>
    </w:lvl>
    <w:lvl w:ilvl="5" w:tentative="0">
      <w:start w:val="1"/>
      <w:numFmt w:val="decimal"/>
      <w:lvlText w:val="%1.%2.%3.%4.%5.%6"/>
      <w:lvlJc w:val="left"/>
      <w:rPr>
        <w:rFonts w:cs="Times New Roman"/>
      </w:rPr>
    </w:lvl>
    <w:lvl w:ilvl="6" w:tentative="0">
      <w:start w:val="1"/>
      <w:numFmt w:val="decimal"/>
      <w:lvlText w:val="%1.%2.%3.%4.%5.%6.%7"/>
      <w:lvlJc w:val="left"/>
      <w:rPr>
        <w:rFonts w:cs="Times New Roman"/>
      </w:rPr>
    </w:lvl>
    <w:lvl w:ilvl="7" w:tentative="0">
      <w:start w:val="1"/>
      <w:numFmt w:val="decimal"/>
      <w:lvlText w:val="%1.%2.%3.%4.%5.%6.%7.%8"/>
      <w:lvlJc w:val="left"/>
      <w:rPr>
        <w:rFonts w:cs="Times New Roman"/>
      </w:rPr>
    </w:lvl>
    <w:lvl w:ilvl="8" w:tentative="0">
      <w:start w:val="1"/>
      <w:numFmt w:val="decimal"/>
      <w:lvlText w:val="%1.%2.%3.%4.%5.%6.%7.%8.%9"/>
      <w:lvlJc w:val="left"/>
      <w:rPr>
        <w:rFonts w:cs="Times New Roman"/>
      </w:rPr>
    </w:lvl>
  </w:abstractNum>
  <w:abstractNum w:abstractNumId="2">
    <w:nsid w:val="0000000C"/>
    <w:multiLevelType w:val="multilevel"/>
    <w:tmpl w:val="0000000C"/>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hkZTA2MTEyYzE5YmJhOTZiYmI1MjI0NjgzM2U2MzYifQ=="/>
  </w:docVars>
  <w:rsids>
    <w:rsidRoot w:val="71E416A5"/>
    <w:rsid w:val="0000131E"/>
    <w:rsid w:val="000430D7"/>
    <w:rsid w:val="00044D96"/>
    <w:rsid w:val="00074FF7"/>
    <w:rsid w:val="000752EB"/>
    <w:rsid w:val="00096E94"/>
    <w:rsid w:val="000A24CD"/>
    <w:rsid w:val="000B79D3"/>
    <w:rsid w:val="00101A68"/>
    <w:rsid w:val="0011672F"/>
    <w:rsid w:val="001167F9"/>
    <w:rsid w:val="00175BB9"/>
    <w:rsid w:val="00181565"/>
    <w:rsid w:val="001A2435"/>
    <w:rsid w:val="001C0914"/>
    <w:rsid w:val="001D0840"/>
    <w:rsid w:val="001E1EC8"/>
    <w:rsid w:val="002037E8"/>
    <w:rsid w:val="002202B0"/>
    <w:rsid w:val="00250033"/>
    <w:rsid w:val="00250D4F"/>
    <w:rsid w:val="00280AF1"/>
    <w:rsid w:val="00296859"/>
    <w:rsid w:val="002A5A6E"/>
    <w:rsid w:val="002C3317"/>
    <w:rsid w:val="002D6C00"/>
    <w:rsid w:val="002F10A3"/>
    <w:rsid w:val="002F4E27"/>
    <w:rsid w:val="00304918"/>
    <w:rsid w:val="00305550"/>
    <w:rsid w:val="00307F3B"/>
    <w:rsid w:val="00322773"/>
    <w:rsid w:val="00354611"/>
    <w:rsid w:val="00367277"/>
    <w:rsid w:val="00373366"/>
    <w:rsid w:val="00392B07"/>
    <w:rsid w:val="003A7B73"/>
    <w:rsid w:val="003B018F"/>
    <w:rsid w:val="003B0AF1"/>
    <w:rsid w:val="003C02C7"/>
    <w:rsid w:val="003D4F0E"/>
    <w:rsid w:val="004377B0"/>
    <w:rsid w:val="0044273C"/>
    <w:rsid w:val="00465D05"/>
    <w:rsid w:val="004C160E"/>
    <w:rsid w:val="004D3C69"/>
    <w:rsid w:val="004E39F1"/>
    <w:rsid w:val="004E5C8E"/>
    <w:rsid w:val="004F71BC"/>
    <w:rsid w:val="00512920"/>
    <w:rsid w:val="0052728D"/>
    <w:rsid w:val="00534E9E"/>
    <w:rsid w:val="00556973"/>
    <w:rsid w:val="00567B5A"/>
    <w:rsid w:val="00567E27"/>
    <w:rsid w:val="0057077E"/>
    <w:rsid w:val="005B3B88"/>
    <w:rsid w:val="005D0A60"/>
    <w:rsid w:val="005D707A"/>
    <w:rsid w:val="005E63E7"/>
    <w:rsid w:val="006038C8"/>
    <w:rsid w:val="006044E0"/>
    <w:rsid w:val="00612E85"/>
    <w:rsid w:val="0066175A"/>
    <w:rsid w:val="0068311E"/>
    <w:rsid w:val="006A2341"/>
    <w:rsid w:val="006A3104"/>
    <w:rsid w:val="006B2B02"/>
    <w:rsid w:val="006C2D93"/>
    <w:rsid w:val="006C488A"/>
    <w:rsid w:val="006E0175"/>
    <w:rsid w:val="006E750B"/>
    <w:rsid w:val="006F0261"/>
    <w:rsid w:val="00715E75"/>
    <w:rsid w:val="00726F7E"/>
    <w:rsid w:val="007333F8"/>
    <w:rsid w:val="007646B4"/>
    <w:rsid w:val="007B0367"/>
    <w:rsid w:val="007B31C0"/>
    <w:rsid w:val="007C5C2B"/>
    <w:rsid w:val="007D77DC"/>
    <w:rsid w:val="00802063"/>
    <w:rsid w:val="00850726"/>
    <w:rsid w:val="00895E57"/>
    <w:rsid w:val="008C6E1B"/>
    <w:rsid w:val="008D66C6"/>
    <w:rsid w:val="008E1CAA"/>
    <w:rsid w:val="008F2B6B"/>
    <w:rsid w:val="008F5E3B"/>
    <w:rsid w:val="00914B13"/>
    <w:rsid w:val="00941063"/>
    <w:rsid w:val="009440CF"/>
    <w:rsid w:val="00956CBF"/>
    <w:rsid w:val="00957845"/>
    <w:rsid w:val="009727DB"/>
    <w:rsid w:val="00986A53"/>
    <w:rsid w:val="009A2365"/>
    <w:rsid w:val="009A2BC6"/>
    <w:rsid w:val="009A67EC"/>
    <w:rsid w:val="009B16B4"/>
    <w:rsid w:val="009B6554"/>
    <w:rsid w:val="009D0F59"/>
    <w:rsid w:val="009E17C3"/>
    <w:rsid w:val="009F2081"/>
    <w:rsid w:val="00A07AD7"/>
    <w:rsid w:val="00A22511"/>
    <w:rsid w:val="00A27F21"/>
    <w:rsid w:val="00A33AD6"/>
    <w:rsid w:val="00A73B0B"/>
    <w:rsid w:val="00A818BA"/>
    <w:rsid w:val="00AA3C63"/>
    <w:rsid w:val="00AC5F2F"/>
    <w:rsid w:val="00AD4A3C"/>
    <w:rsid w:val="00AD79F0"/>
    <w:rsid w:val="00AF1593"/>
    <w:rsid w:val="00AF7DF9"/>
    <w:rsid w:val="00B0118C"/>
    <w:rsid w:val="00B5240F"/>
    <w:rsid w:val="00B6649B"/>
    <w:rsid w:val="00B71199"/>
    <w:rsid w:val="00BB02E6"/>
    <w:rsid w:val="00BD767A"/>
    <w:rsid w:val="00BE74FD"/>
    <w:rsid w:val="00BF3879"/>
    <w:rsid w:val="00C015AA"/>
    <w:rsid w:val="00C22448"/>
    <w:rsid w:val="00C3782E"/>
    <w:rsid w:val="00C9389C"/>
    <w:rsid w:val="00CA1253"/>
    <w:rsid w:val="00CA219B"/>
    <w:rsid w:val="00CC5199"/>
    <w:rsid w:val="00CC58DF"/>
    <w:rsid w:val="00CF3EF5"/>
    <w:rsid w:val="00D174FE"/>
    <w:rsid w:val="00D2672A"/>
    <w:rsid w:val="00D300E8"/>
    <w:rsid w:val="00D3637F"/>
    <w:rsid w:val="00D764F8"/>
    <w:rsid w:val="00D80F10"/>
    <w:rsid w:val="00D81360"/>
    <w:rsid w:val="00D85317"/>
    <w:rsid w:val="00D854D8"/>
    <w:rsid w:val="00D97F3F"/>
    <w:rsid w:val="00DB0CBE"/>
    <w:rsid w:val="00DB5340"/>
    <w:rsid w:val="00E06EEF"/>
    <w:rsid w:val="00E12A83"/>
    <w:rsid w:val="00E23CA4"/>
    <w:rsid w:val="00E558BF"/>
    <w:rsid w:val="00E57307"/>
    <w:rsid w:val="00E726FF"/>
    <w:rsid w:val="00E84308"/>
    <w:rsid w:val="00E90DE1"/>
    <w:rsid w:val="00EA0BDB"/>
    <w:rsid w:val="00EB412C"/>
    <w:rsid w:val="00EC3320"/>
    <w:rsid w:val="00ED66DF"/>
    <w:rsid w:val="00ED7049"/>
    <w:rsid w:val="00EF483A"/>
    <w:rsid w:val="00F139E5"/>
    <w:rsid w:val="00F13DCC"/>
    <w:rsid w:val="00F21F79"/>
    <w:rsid w:val="00F2376F"/>
    <w:rsid w:val="00F26A50"/>
    <w:rsid w:val="00F42906"/>
    <w:rsid w:val="00F4312E"/>
    <w:rsid w:val="00F45C1A"/>
    <w:rsid w:val="00F6070F"/>
    <w:rsid w:val="00F800FA"/>
    <w:rsid w:val="00F93011"/>
    <w:rsid w:val="00FC1E2F"/>
    <w:rsid w:val="00FD70E8"/>
    <w:rsid w:val="00FF5A39"/>
    <w:rsid w:val="014732E0"/>
    <w:rsid w:val="01580120"/>
    <w:rsid w:val="019C3862"/>
    <w:rsid w:val="01BC35A7"/>
    <w:rsid w:val="01CC1D98"/>
    <w:rsid w:val="02064E8A"/>
    <w:rsid w:val="024B69F2"/>
    <w:rsid w:val="025E6A9D"/>
    <w:rsid w:val="02897C2D"/>
    <w:rsid w:val="02CF3856"/>
    <w:rsid w:val="02E02E85"/>
    <w:rsid w:val="02F87038"/>
    <w:rsid w:val="03204CB8"/>
    <w:rsid w:val="032D3EC2"/>
    <w:rsid w:val="033A15EC"/>
    <w:rsid w:val="034534F3"/>
    <w:rsid w:val="0368478F"/>
    <w:rsid w:val="038E6BFA"/>
    <w:rsid w:val="03F97C93"/>
    <w:rsid w:val="0405182C"/>
    <w:rsid w:val="040A2791"/>
    <w:rsid w:val="045321C7"/>
    <w:rsid w:val="04A97381"/>
    <w:rsid w:val="04AC4C3A"/>
    <w:rsid w:val="04B366D0"/>
    <w:rsid w:val="04DE5FA8"/>
    <w:rsid w:val="04EB3E6C"/>
    <w:rsid w:val="04F466A6"/>
    <w:rsid w:val="04F86E01"/>
    <w:rsid w:val="05013027"/>
    <w:rsid w:val="050949D4"/>
    <w:rsid w:val="052F13B3"/>
    <w:rsid w:val="05432B9E"/>
    <w:rsid w:val="05463C3B"/>
    <w:rsid w:val="055A54B2"/>
    <w:rsid w:val="055E2414"/>
    <w:rsid w:val="05885383"/>
    <w:rsid w:val="059F3D2F"/>
    <w:rsid w:val="05C77042"/>
    <w:rsid w:val="05C870C1"/>
    <w:rsid w:val="05CE390A"/>
    <w:rsid w:val="06146D57"/>
    <w:rsid w:val="062A5D86"/>
    <w:rsid w:val="06305803"/>
    <w:rsid w:val="06385FC4"/>
    <w:rsid w:val="06983543"/>
    <w:rsid w:val="06E53F13"/>
    <w:rsid w:val="06F1574A"/>
    <w:rsid w:val="07184D4F"/>
    <w:rsid w:val="073D0ADD"/>
    <w:rsid w:val="07400AD3"/>
    <w:rsid w:val="07BA37E2"/>
    <w:rsid w:val="07E8397A"/>
    <w:rsid w:val="0815523A"/>
    <w:rsid w:val="08443B25"/>
    <w:rsid w:val="086E01A3"/>
    <w:rsid w:val="087021CD"/>
    <w:rsid w:val="089F337E"/>
    <w:rsid w:val="08A6156F"/>
    <w:rsid w:val="08BE3D35"/>
    <w:rsid w:val="08D42E73"/>
    <w:rsid w:val="08EA0927"/>
    <w:rsid w:val="090E325F"/>
    <w:rsid w:val="092642F7"/>
    <w:rsid w:val="094B4101"/>
    <w:rsid w:val="09626585"/>
    <w:rsid w:val="0966617B"/>
    <w:rsid w:val="0977167B"/>
    <w:rsid w:val="09A06DAA"/>
    <w:rsid w:val="09C02340"/>
    <w:rsid w:val="09DE231D"/>
    <w:rsid w:val="09FA35F8"/>
    <w:rsid w:val="0A015045"/>
    <w:rsid w:val="0A5B4145"/>
    <w:rsid w:val="0A5D61D1"/>
    <w:rsid w:val="0A6C3373"/>
    <w:rsid w:val="0A867B68"/>
    <w:rsid w:val="0ABF18CF"/>
    <w:rsid w:val="0ACC75E9"/>
    <w:rsid w:val="0ADF5131"/>
    <w:rsid w:val="0AED4CFD"/>
    <w:rsid w:val="0AFB5932"/>
    <w:rsid w:val="0B1706DB"/>
    <w:rsid w:val="0B1A4159"/>
    <w:rsid w:val="0B1F2558"/>
    <w:rsid w:val="0B286A0D"/>
    <w:rsid w:val="0B2B77FE"/>
    <w:rsid w:val="0B4E191E"/>
    <w:rsid w:val="0B5E0E79"/>
    <w:rsid w:val="0B6E2A78"/>
    <w:rsid w:val="0BF2247E"/>
    <w:rsid w:val="0C102B78"/>
    <w:rsid w:val="0C282FD9"/>
    <w:rsid w:val="0C960B75"/>
    <w:rsid w:val="0CD008B3"/>
    <w:rsid w:val="0D0578DC"/>
    <w:rsid w:val="0D6A409F"/>
    <w:rsid w:val="0DA807D7"/>
    <w:rsid w:val="0DB60DB5"/>
    <w:rsid w:val="0DDB607B"/>
    <w:rsid w:val="0DF87A35"/>
    <w:rsid w:val="0E0B6CEE"/>
    <w:rsid w:val="0E1E1E35"/>
    <w:rsid w:val="0E6A74B5"/>
    <w:rsid w:val="0E6B44B1"/>
    <w:rsid w:val="0E722040"/>
    <w:rsid w:val="0EA42515"/>
    <w:rsid w:val="0EAB2934"/>
    <w:rsid w:val="0EB923FA"/>
    <w:rsid w:val="0ECF2883"/>
    <w:rsid w:val="0EE91128"/>
    <w:rsid w:val="0F143AB4"/>
    <w:rsid w:val="0F14502D"/>
    <w:rsid w:val="0F1B1801"/>
    <w:rsid w:val="0F4A3329"/>
    <w:rsid w:val="0F6D37F3"/>
    <w:rsid w:val="0F8D22F8"/>
    <w:rsid w:val="0F907A1B"/>
    <w:rsid w:val="0F975FB9"/>
    <w:rsid w:val="0FA653BC"/>
    <w:rsid w:val="0FC27D71"/>
    <w:rsid w:val="0FD72647"/>
    <w:rsid w:val="10034331"/>
    <w:rsid w:val="100F11AB"/>
    <w:rsid w:val="10176FD3"/>
    <w:rsid w:val="103441CC"/>
    <w:rsid w:val="107A5C99"/>
    <w:rsid w:val="10941CF3"/>
    <w:rsid w:val="10D064CB"/>
    <w:rsid w:val="110D1A93"/>
    <w:rsid w:val="115A117A"/>
    <w:rsid w:val="117101BA"/>
    <w:rsid w:val="1176254B"/>
    <w:rsid w:val="118A2253"/>
    <w:rsid w:val="118D79D8"/>
    <w:rsid w:val="11956F64"/>
    <w:rsid w:val="11A675B2"/>
    <w:rsid w:val="11AF2361"/>
    <w:rsid w:val="11B50DA9"/>
    <w:rsid w:val="11D530CE"/>
    <w:rsid w:val="11D77169"/>
    <w:rsid w:val="11E30673"/>
    <w:rsid w:val="11E81017"/>
    <w:rsid w:val="11EA0712"/>
    <w:rsid w:val="11ED1BEE"/>
    <w:rsid w:val="11F541FD"/>
    <w:rsid w:val="11F93285"/>
    <w:rsid w:val="122E549D"/>
    <w:rsid w:val="125548F3"/>
    <w:rsid w:val="12851632"/>
    <w:rsid w:val="12870F08"/>
    <w:rsid w:val="12B04A66"/>
    <w:rsid w:val="12C7442C"/>
    <w:rsid w:val="12E40684"/>
    <w:rsid w:val="12E52950"/>
    <w:rsid w:val="12F71B74"/>
    <w:rsid w:val="132267E7"/>
    <w:rsid w:val="133968CD"/>
    <w:rsid w:val="133B50F9"/>
    <w:rsid w:val="135B77FF"/>
    <w:rsid w:val="13835DFC"/>
    <w:rsid w:val="138543EB"/>
    <w:rsid w:val="139A53F2"/>
    <w:rsid w:val="13A15AA1"/>
    <w:rsid w:val="13D10AE8"/>
    <w:rsid w:val="144072C9"/>
    <w:rsid w:val="14545257"/>
    <w:rsid w:val="145D4FDE"/>
    <w:rsid w:val="147815B3"/>
    <w:rsid w:val="147C5547"/>
    <w:rsid w:val="14840140"/>
    <w:rsid w:val="1490481C"/>
    <w:rsid w:val="14BE2CCA"/>
    <w:rsid w:val="14BF14A5"/>
    <w:rsid w:val="14DD70BF"/>
    <w:rsid w:val="14F130A6"/>
    <w:rsid w:val="152054E4"/>
    <w:rsid w:val="15262A3E"/>
    <w:rsid w:val="15BC4236"/>
    <w:rsid w:val="15E677D4"/>
    <w:rsid w:val="16455192"/>
    <w:rsid w:val="165277D7"/>
    <w:rsid w:val="167A1D07"/>
    <w:rsid w:val="169453F2"/>
    <w:rsid w:val="16A019D3"/>
    <w:rsid w:val="16AB13D4"/>
    <w:rsid w:val="16BD48C4"/>
    <w:rsid w:val="16D370F3"/>
    <w:rsid w:val="171E045E"/>
    <w:rsid w:val="172B3C0B"/>
    <w:rsid w:val="1765414D"/>
    <w:rsid w:val="17763740"/>
    <w:rsid w:val="178B1935"/>
    <w:rsid w:val="179D287B"/>
    <w:rsid w:val="17E43F31"/>
    <w:rsid w:val="17E93073"/>
    <w:rsid w:val="17FD1968"/>
    <w:rsid w:val="180C273E"/>
    <w:rsid w:val="18265FDB"/>
    <w:rsid w:val="1848328C"/>
    <w:rsid w:val="1848742A"/>
    <w:rsid w:val="186A7E33"/>
    <w:rsid w:val="18C321ED"/>
    <w:rsid w:val="18D17A81"/>
    <w:rsid w:val="19040158"/>
    <w:rsid w:val="19244B18"/>
    <w:rsid w:val="193B1177"/>
    <w:rsid w:val="19457568"/>
    <w:rsid w:val="1947540F"/>
    <w:rsid w:val="19890B2B"/>
    <w:rsid w:val="19897814"/>
    <w:rsid w:val="19A468BC"/>
    <w:rsid w:val="19D52DF5"/>
    <w:rsid w:val="19DA1AF8"/>
    <w:rsid w:val="19F00A7B"/>
    <w:rsid w:val="19F358F5"/>
    <w:rsid w:val="1A510E95"/>
    <w:rsid w:val="1A6105EF"/>
    <w:rsid w:val="1A7208D9"/>
    <w:rsid w:val="1A7B49A6"/>
    <w:rsid w:val="1A8348EC"/>
    <w:rsid w:val="1ADC3E11"/>
    <w:rsid w:val="1AE37F95"/>
    <w:rsid w:val="1B0613D1"/>
    <w:rsid w:val="1B1066B4"/>
    <w:rsid w:val="1B4D751A"/>
    <w:rsid w:val="1B5E7A51"/>
    <w:rsid w:val="1B715CF1"/>
    <w:rsid w:val="1B883EA9"/>
    <w:rsid w:val="1BA26B7A"/>
    <w:rsid w:val="1BB159E6"/>
    <w:rsid w:val="1BDA4A62"/>
    <w:rsid w:val="1C11243E"/>
    <w:rsid w:val="1C707AF8"/>
    <w:rsid w:val="1CAA6E37"/>
    <w:rsid w:val="1CCD53BA"/>
    <w:rsid w:val="1CD2381C"/>
    <w:rsid w:val="1CE52D19"/>
    <w:rsid w:val="1CF06AD2"/>
    <w:rsid w:val="1D065080"/>
    <w:rsid w:val="1D11001A"/>
    <w:rsid w:val="1D2E0E4B"/>
    <w:rsid w:val="1D3D339A"/>
    <w:rsid w:val="1D4341D9"/>
    <w:rsid w:val="1D4715C5"/>
    <w:rsid w:val="1D690805"/>
    <w:rsid w:val="1D763637"/>
    <w:rsid w:val="1D8F76CE"/>
    <w:rsid w:val="1DCA1C85"/>
    <w:rsid w:val="1DF20A40"/>
    <w:rsid w:val="1E08774F"/>
    <w:rsid w:val="1E9B34AE"/>
    <w:rsid w:val="1EA45DA8"/>
    <w:rsid w:val="1EFB5963"/>
    <w:rsid w:val="1F203755"/>
    <w:rsid w:val="1F2560FF"/>
    <w:rsid w:val="1F28431C"/>
    <w:rsid w:val="1F3B7943"/>
    <w:rsid w:val="1F4039AE"/>
    <w:rsid w:val="1F414353"/>
    <w:rsid w:val="1F697761"/>
    <w:rsid w:val="1F7031AA"/>
    <w:rsid w:val="1F7E3E30"/>
    <w:rsid w:val="1F823B0C"/>
    <w:rsid w:val="1F833F94"/>
    <w:rsid w:val="1FAA4377"/>
    <w:rsid w:val="1FB8384F"/>
    <w:rsid w:val="1FCF30A6"/>
    <w:rsid w:val="1FDB144E"/>
    <w:rsid w:val="20161DE9"/>
    <w:rsid w:val="206969FC"/>
    <w:rsid w:val="20736E44"/>
    <w:rsid w:val="207D28B3"/>
    <w:rsid w:val="20970C07"/>
    <w:rsid w:val="20B91695"/>
    <w:rsid w:val="20C07652"/>
    <w:rsid w:val="20C13AEA"/>
    <w:rsid w:val="20EF6D9D"/>
    <w:rsid w:val="214C0103"/>
    <w:rsid w:val="216B15BB"/>
    <w:rsid w:val="21727FAC"/>
    <w:rsid w:val="21A41741"/>
    <w:rsid w:val="21B54744"/>
    <w:rsid w:val="21C81BF6"/>
    <w:rsid w:val="21CE53C2"/>
    <w:rsid w:val="21F505AA"/>
    <w:rsid w:val="22033D67"/>
    <w:rsid w:val="221D6E03"/>
    <w:rsid w:val="221E3F06"/>
    <w:rsid w:val="226A0C19"/>
    <w:rsid w:val="22730C36"/>
    <w:rsid w:val="22AB4B98"/>
    <w:rsid w:val="22C862D5"/>
    <w:rsid w:val="22E00DF5"/>
    <w:rsid w:val="22F2248B"/>
    <w:rsid w:val="22F3235A"/>
    <w:rsid w:val="22F82360"/>
    <w:rsid w:val="233361A3"/>
    <w:rsid w:val="236D0338"/>
    <w:rsid w:val="23973EB3"/>
    <w:rsid w:val="23A03B6C"/>
    <w:rsid w:val="23A179E0"/>
    <w:rsid w:val="23E36DDA"/>
    <w:rsid w:val="23F40688"/>
    <w:rsid w:val="24030172"/>
    <w:rsid w:val="24062C0E"/>
    <w:rsid w:val="24220CB3"/>
    <w:rsid w:val="242E7FFB"/>
    <w:rsid w:val="24482291"/>
    <w:rsid w:val="2471627D"/>
    <w:rsid w:val="247E6B96"/>
    <w:rsid w:val="24870130"/>
    <w:rsid w:val="248C2668"/>
    <w:rsid w:val="2494566B"/>
    <w:rsid w:val="24CB73F2"/>
    <w:rsid w:val="24DB7C3E"/>
    <w:rsid w:val="24DD40D2"/>
    <w:rsid w:val="24E67129"/>
    <w:rsid w:val="253228D2"/>
    <w:rsid w:val="25465E11"/>
    <w:rsid w:val="256601BA"/>
    <w:rsid w:val="256E2074"/>
    <w:rsid w:val="25AE6E16"/>
    <w:rsid w:val="25BD3EE5"/>
    <w:rsid w:val="25CF0E14"/>
    <w:rsid w:val="25D15564"/>
    <w:rsid w:val="261137FA"/>
    <w:rsid w:val="261A086D"/>
    <w:rsid w:val="262021A8"/>
    <w:rsid w:val="26284A7E"/>
    <w:rsid w:val="263456A2"/>
    <w:rsid w:val="26447A16"/>
    <w:rsid w:val="265562DD"/>
    <w:rsid w:val="265E1B80"/>
    <w:rsid w:val="26652ABA"/>
    <w:rsid w:val="269A42F3"/>
    <w:rsid w:val="26B845E1"/>
    <w:rsid w:val="26DE0FD1"/>
    <w:rsid w:val="27086CD8"/>
    <w:rsid w:val="270D15D5"/>
    <w:rsid w:val="2716505F"/>
    <w:rsid w:val="271718C4"/>
    <w:rsid w:val="27254F08"/>
    <w:rsid w:val="27A26C1B"/>
    <w:rsid w:val="27D75FEF"/>
    <w:rsid w:val="27E62F04"/>
    <w:rsid w:val="28094AA7"/>
    <w:rsid w:val="283523D6"/>
    <w:rsid w:val="284466CE"/>
    <w:rsid w:val="28B50AB6"/>
    <w:rsid w:val="28E4048B"/>
    <w:rsid w:val="28FC7083"/>
    <w:rsid w:val="2905079D"/>
    <w:rsid w:val="291E5110"/>
    <w:rsid w:val="29200A6E"/>
    <w:rsid w:val="292D4925"/>
    <w:rsid w:val="29BC10EA"/>
    <w:rsid w:val="29C75454"/>
    <w:rsid w:val="29E65DD2"/>
    <w:rsid w:val="2A4520D5"/>
    <w:rsid w:val="2A4E7DDA"/>
    <w:rsid w:val="2A654CE5"/>
    <w:rsid w:val="2A8725CB"/>
    <w:rsid w:val="2A89066D"/>
    <w:rsid w:val="2A8A5006"/>
    <w:rsid w:val="2A9328D5"/>
    <w:rsid w:val="2A953DC0"/>
    <w:rsid w:val="2A9E03DD"/>
    <w:rsid w:val="2AAD1EE7"/>
    <w:rsid w:val="2AB244B3"/>
    <w:rsid w:val="2AD37D79"/>
    <w:rsid w:val="2AF93432"/>
    <w:rsid w:val="2AFC4E35"/>
    <w:rsid w:val="2B4A1D96"/>
    <w:rsid w:val="2B8053AB"/>
    <w:rsid w:val="2B86620E"/>
    <w:rsid w:val="2BA4329E"/>
    <w:rsid w:val="2BC276C0"/>
    <w:rsid w:val="2C1A79D6"/>
    <w:rsid w:val="2C33624A"/>
    <w:rsid w:val="2C840FE5"/>
    <w:rsid w:val="2C8A0554"/>
    <w:rsid w:val="2CAB3034"/>
    <w:rsid w:val="2CB13F7F"/>
    <w:rsid w:val="2CB62078"/>
    <w:rsid w:val="2CE47287"/>
    <w:rsid w:val="2D036C68"/>
    <w:rsid w:val="2D205475"/>
    <w:rsid w:val="2D522899"/>
    <w:rsid w:val="2D666CA7"/>
    <w:rsid w:val="2D7B562D"/>
    <w:rsid w:val="2D850B71"/>
    <w:rsid w:val="2DBA4EDE"/>
    <w:rsid w:val="2DE7275E"/>
    <w:rsid w:val="2DFE329A"/>
    <w:rsid w:val="2E076C2D"/>
    <w:rsid w:val="2E090714"/>
    <w:rsid w:val="2E101232"/>
    <w:rsid w:val="2E114D11"/>
    <w:rsid w:val="2E3345AF"/>
    <w:rsid w:val="2E343A9F"/>
    <w:rsid w:val="2E621319"/>
    <w:rsid w:val="2ECD0D66"/>
    <w:rsid w:val="2EE0359B"/>
    <w:rsid w:val="2EE670CA"/>
    <w:rsid w:val="2EF607E2"/>
    <w:rsid w:val="2F647805"/>
    <w:rsid w:val="2F68035C"/>
    <w:rsid w:val="2FB941CB"/>
    <w:rsid w:val="2FE0242A"/>
    <w:rsid w:val="2FED7412"/>
    <w:rsid w:val="2FF07726"/>
    <w:rsid w:val="2FFC44A6"/>
    <w:rsid w:val="300F08BF"/>
    <w:rsid w:val="30260A8E"/>
    <w:rsid w:val="304C0301"/>
    <w:rsid w:val="3073310C"/>
    <w:rsid w:val="3089445D"/>
    <w:rsid w:val="309F7453"/>
    <w:rsid w:val="30A96E15"/>
    <w:rsid w:val="30BE5059"/>
    <w:rsid w:val="30CF7ABA"/>
    <w:rsid w:val="3109251C"/>
    <w:rsid w:val="31350C4C"/>
    <w:rsid w:val="31467526"/>
    <w:rsid w:val="315E4A28"/>
    <w:rsid w:val="31AA174F"/>
    <w:rsid w:val="31C83A3E"/>
    <w:rsid w:val="31D10829"/>
    <w:rsid w:val="31EA5447"/>
    <w:rsid w:val="3210423E"/>
    <w:rsid w:val="32235943"/>
    <w:rsid w:val="3237564A"/>
    <w:rsid w:val="32375ECB"/>
    <w:rsid w:val="3251323B"/>
    <w:rsid w:val="32666DBF"/>
    <w:rsid w:val="328E7420"/>
    <w:rsid w:val="32B01F0D"/>
    <w:rsid w:val="32B5629B"/>
    <w:rsid w:val="32C86DD5"/>
    <w:rsid w:val="32D90A8E"/>
    <w:rsid w:val="32DE572A"/>
    <w:rsid w:val="32E1670C"/>
    <w:rsid w:val="330A1871"/>
    <w:rsid w:val="33174148"/>
    <w:rsid w:val="331C42F8"/>
    <w:rsid w:val="331D65A7"/>
    <w:rsid w:val="33462EC2"/>
    <w:rsid w:val="33502654"/>
    <w:rsid w:val="33656AB6"/>
    <w:rsid w:val="33681E8B"/>
    <w:rsid w:val="33736929"/>
    <w:rsid w:val="33951F4B"/>
    <w:rsid w:val="33AD6638"/>
    <w:rsid w:val="33D42531"/>
    <w:rsid w:val="33F07D13"/>
    <w:rsid w:val="3423768F"/>
    <w:rsid w:val="34292AC3"/>
    <w:rsid w:val="34583D14"/>
    <w:rsid w:val="34715C9A"/>
    <w:rsid w:val="34725391"/>
    <w:rsid w:val="349E25B4"/>
    <w:rsid w:val="34A03844"/>
    <w:rsid w:val="352C27FB"/>
    <w:rsid w:val="3574480F"/>
    <w:rsid w:val="357C6163"/>
    <w:rsid w:val="35B41781"/>
    <w:rsid w:val="35E06DFD"/>
    <w:rsid w:val="360E7B22"/>
    <w:rsid w:val="3617364A"/>
    <w:rsid w:val="362027D5"/>
    <w:rsid w:val="364616CE"/>
    <w:rsid w:val="3659636E"/>
    <w:rsid w:val="3665081A"/>
    <w:rsid w:val="366C03F6"/>
    <w:rsid w:val="369E54D6"/>
    <w:rsid w:val="36A9349B"/>
    <w:rsid w:val="36B4704E"/>
    <w:rsid w:val="36B74442"/>
    <w:rsid w:val="36DC6224"/>
    <w:rsid w:val="36DE508F"/>
    <w:rsid w:val="36E76CF5"/>
    <w:rsid w:val="36EF6FFE"/>
    <w:rsid w:val="371D0240"/>
    <w:rsid w:val="371F2F08"/>
    <w:rsid w:val="37345C4F"/>
    <w:rsid w:val="373B05AC"/>
    <w:rsid w:val="378A3598"/>
    <w:rsid w:val="379024FE"/>
    <w:rsid w:val="379871DB"/>
    <w:rsid w:val="379D7569"/>
    <w:rsid w:val="37D14E1D"/>
    <w:rsid w:val="37FE4DFD"/>
    <w:rsid w:val="380D15E7"/>
    <w:rsid w:val="38104BE6"/>
    <w:rsid w:val="381976E8"/>
    <w:rsid w:val="382B47D3"/>
    <w:rsid w:val="38465BB1"/>
    <w:rsid w:val="384E6A26"/>
    <w:rsid w:val="385B51EE"/>
    <w:rsid w:val="38916493"/>
    <w:rsid w:val="38994839"/>
    <w:rsid w:val="38D46DCD"/>
    <w:rsid w:val="38D75BFD"/>
    <w:rsid w:val="38DC73BE"/>
    <w:rsid w:val="392711FD"/>
    <w:rsid w:val="392C1694"/>
    <w:rsid w:val="3985230A"/>
    <w:rsid w:val="39CA42F9"/>
    <w:rsid w:val="39E76B9C"/>
    <w:rsid w:val="3A014F08"/>
    <w:rsid w:val="3A202907"/>
    <w:rsid w:val="3A22330F"/>
    <w:rsid w:val="3A8B1C20"/>
    <w:rsid w:val="3A922C76"/>
    <w:rsid w:val="3A944B7E"/>
    <w:rsid w:val="3A947CD5"/>
    <w:rsid w:val="3AC53024"/>
    <w:rsid w:val="3B022FE9"/>
    <w:rsid w:val="3B110728"/>
    <w:rsid w:val="3B120D20"/>
    <w:rsid w:val="3B282BD1"/>
    <w:rsid w:val="3B31127D"/>
    <w:rsid w:val="3B8E0546"/>
    <w:rsid w:val="3BC37AB6"/>
    <w:rsid w:val="3BC76892"/>
    <w:rsid w:val="3BE47DAA"/>
    <w:rsid w:val="3C1D1E50"/>
    <w:rsid w:val="3C1E6EB1"/>
    <w:rsid w:val="3C586385"/>
    <w:rsid w:val="3C5E216A"/>
    <w:rsid w:val="3C6030AC"/>
    <w:rsid w:val="3C622427"/>
    <w:rsid w:val="3C950F0C"/>
    <w:rsid w:val="3C9843A6"/>
    <w:rsid w:val="3CA5759C"/>
    <w:rsid w:val="3CB045BC"/>
    <w:rsid w:val="3CB20083"/>
    <w:rsid w:val="3CE974FE"/>
    <w:rsid w:val="3CF9530F"/>
    <w:rsid w:val="3D0A25CD"/>
    <w:rsid w:val="3D25016D"/>
    <w:rsid w:val="3D3D42CE"/>
    <w:rsid w:val="3D586029"/>
    <w:rsid w:val="3D66359A"/>
    <w:rsid w:val="3DB914DF"/>
    <w:rsid w:val="3E1A06B7"/>
    <w:rsid w:val="3E1A5671"/>
    <w:rsid w:val="3E2676A9"/>
    <w:rsid w:val="3E301A13"/>
    <w:rsid w:val="3E5C0010"/>
    <w:rsid w:val="3E612EF7"/>
    <w:rsid w:val="3E674C27"/>
    <w:rsid w:val="3EB56B0F"/>
    <w:rsid w:val="3EBB529B"/>
    <w:rsid w:val="3EE737C4"/>
    <w:rsid w:val="3EFD1263"/>
    <w:rsid w:val="3F2271F8"/>
    <w:rsid w:val="3F2A0E82"/>
    <w:rsid w:val="3F4F4765"/>
    <w:rsid w:val="3F577266"/>
    <w:rsid w:val="3F6F2C80"/>
    <w:rsid w:val="3F78560C"/>
    <w:rsid w:val="3F974194"/>
    <w:rsid w:val="3FB519ED"/>
    <w:rsid w:val="402D1067"/>
    <w:rsid w:val="40702F90"/>
    <w:rsid w:val="40914E75"/>
    <w:rsid w:val="41854056"/>
    <w:rsid w:val="418A4896"/>
    <w:rsid w:val="41A0687E"/>
    <w:rsid w:val="41AE3928"/>
    <w:rsid w:val="41C0516D"/>
    <w:rsid w:val="41E016A2"/>
    <w:rsid w:val="41FA5772"/>
    <w:rsid w:val="421B6683"/>
    <w:rsid w:val="42360C5B"/>
    <w:rsid w:val="42544939"/>
    <w:rsid w:val="42835080"/>
    <w:rsid w:val="4298644F"/>
    <w:rsid w:val="429E6FFF"/>
    <w:rsid w:val="42CE0B28"/>
    <w:rsid w:val="430276CA"/>
    <w:rsid w:val="430B24E1"/>
    <w:rsid w:val="433B1C15"/>
    <w:rsid w:val="43473DC1"/>
    <w:rsid w:val="43566927"/>
    <w:rsid w:val="43572B58"/>
    <w:rsid w:val="43582866"/>
    <w:rsid w:val="43700FBD"/>
    <w:rsid w:val="43D15EDF"/>
    <w:rsid w:val="43F209AC"/>
    <w:rsid w:val="44035B8E"/>
    <w:rsid w:val="4407469C"/>
    <w:rsid w:val="44092170"/>
    <w:rsid w:val="442B6355"/>
    <w:rsid w:val="44673416"/>
    <w:rsid w:val="44B92271"/>
    <w:rsid w:val="44B965DD"/>
    <w:rsid w:val="45227C0B"/>
    <w:rsid w:val="45346FD7"/>
    <w:rsid w:val="456157AF"/>
    <w:rsid w:val="458309F6"/>
    <w:rsid w:val="45934144"/>
    <w:rsid w:val="45DB7DD6"/>
    <w:rsid w:val="45DE3C57"/>
    <w:rsid w:val="45EC78B6"/>
    <w:rsid w:val="462D6D0A"/>
    <w:rsid w:val="46407A67"/>
    <w:rsid w:val="464B27E8"/>
    <w:rsid w:val="46A873F9"/>
    <w:rsid w:val="46C27176"/>
    <w:rsid w:val="46C6228F"/>
    <w:rsid w:val="46EB3CE3"/>
    <w:rsid w:val="46EC097E"/>
    <w:rsid w:val="46F76309"/>
    <w:rsid w:val="474A184C"/>
    <w:rsid w:val="47B65960"/>
    <w:rsid w:val="47FC1EA1"/>
    <w:rsid w:val="47FC4D07"/>
    <w:rsid w:val="482E682B"/>
    <w:rsid w:val="483C7010"/>
    <w:rsid w:val="485A25AB"/>
    <w:rsid w:val="485B3B4F"/>
    <w:rsid w:val="4875392E"/>
    <w:rsid w:val="487E01EA"/>
    <w:rsid w:val="48A7088F"/>
    <w:rsid w:val="48A81D27"/>
    <w:rsid w:val="48C24446"/>
    <w:rsid w:val="48C67B12"/>
    <w:rsid w:val="48DB3662"/>
    <w:rsid w:val="48E06B42"/>
    <w:rsid w:val="48E947FD"/>
    <w:rsid w:val="490D582A"/>
    <w:rsid w:val="491061FE"/>
    <w:rsid w:val="49167702"/>
    <w:rsid w:val="49324630"/>
    <w:rsid w:val="49643644"/>
    <w:rsid w:val="49984B44"/>
    <w:rsid w:val="499C6FB7"/>
    <w:rsid w:val="49AA766E"/>
    <w:rsid w:val="49E15EB3"/>
    <w:rsid w:val="49E57E2B"/>
    <w:rsid w:val="4A1316FE"/>
    <w:rsid w:val="4A192D1E"/>
    <w:rsid w:val="4A415E2F"/>
    <w:rsid w:val="4A682AB3"/>
    <w:rsid w:val="4A8D6C09"/>
    <w:rsid w:val="4AB97594"/>
    <w:rsid w:val="4AD316E3"/>
    <w:rsid w:val="4AE91812"/>
    <w:rsid w:val="4B2C0040"/>
    <w:rsid w:val="4B946E81"/>
    <w:rsid w:val="4BAB3844"/>
    <w:rsid w:val="4BC95555"/>
    <w:rsid w:val="4BD479B2"/>
    <w:rsid w:val="4C0204AC"/>
    <w:rsid w:val="4C2637A8"/>
    <w:rsid w:val="4C2E7288"/>
    <w:rsid w:val="4C5D6846"/>
    <w:rsid w:val="4C653E95"/>
    <w:rsid w:val="4C7D6F7F"/>
    <w:rsid w:val="4C817D07"/>
    <w:rsid w:val="4C884A90"/>
    <w:rsid w:val="4C976760"/>
    <w:rsid w:val="4CB10DD0"/>
    <w:rsid w:val="4CB319EB"/>
    <w:rsid w:val="4CCE5624"/>
    <w:rsid w:val="4D0A226B"/>
    <w:rsid w:val="4D130325"/>
    <w:rsid w:val="4D4F30D9"/>
    <w:rsid w:val="4D52722F"/>
    <w:rsid w:val="4D982F81"/>
    <w:rsid w:val="4DB636F2"/>
    <w:rsid w:val="4DC250FD"/>
    <w:rsid w:val="4DC87CCD"/>
    <w:rsid w:val="4DCB5095"/>
    <w:rsid w:val="4DD75C9E"/>
    <w:rsid w:val="4E15746A"/>
    <w:rsid w:val="4E2D6185"/>
    <w:rsid w:val="4E37269A"/>
    <w:rsid w:val="4E581DE5"/>
    <w:rsid w:val="4E8A4A46"/>
    <w:rsid w:val="4EA82856"/>
    <w:rsid w:val="4EC71EE6"/>
    <w:rsid w:val="4EDB31F9"/>
    <w:rsid w:val="4EEA2C10"/>
    <w:rsid w:val="4F3D1FEB"/>
    <w:rsid w:val="4F407E5B"/>
    <w:rsid w:val="4F5F0304"/>
    <w:rsid w:val="4F7748B5"/>
    <w:rsid w:val="4FF616E4"/>
    <w:rsid w:val="50374EE4"/>
    <w:rsid w:val="503B697F"/>
    <w:rsid w:val="50403FFF"/>
    <w:rsid w:val="50664A85"/>
    <w:rsid w:val="507602EA"/>
    <w:rsid w:val="507D6C35"/>
    <w:rsid w:val="50824ACF"/>
    <w:rsid w:val="50873A2E"/>
    <w:rsid w:val="50C92E75"/>
    <w:rsid w:val="50E16E49"/>
    <w:rsid w:val="5106709C"/>
    <w:rsid w:val="512B5BB9"/>
    <w:rsid w:val="51315F31"/>
    <w:rsid w:val="5139438F"/>
    <w:rsid w:val="517A7F85"/>
    <w:rsid w:val="517C23B3"/>
    <w:rsid w:val="51961FD7"/>
    <w:rsid w:val="519942FB"/>
    <w:rsid w:val="51D10BCB"/>
    <w:rsid w:val="520C130D"/>
    <w:rsid w:val="52245790"/>
    <w:rsid w:val="52316C7A"/>
    <w:rsid w:val="526312D1"/>
    <w:rsid w:val="5279097A"/>
    <w:rsid w:val="527F2A31"/>
    <w:rsid w:val="52DF0C6A"/>
    <w:rsid w:val="53086681"/>
    <w:rsid w:val="53144341"/>
    <w:rsid w:val="53262972"/>
    <w:rsid w:val="532C3DD5"/>
    <w:rsid w:val="533D0264"/>
    <w:rsid w:val="5348140F"/>
    <w:rsid w:val="534C1566"/>
    <w:rsid w:val="53501BC9"/>
    <w:rsid w:val="53DF1C4C"/>
    <w:rsid w:val="53E33545"/>
    <w:rsid w:val="53EF4C10"/>
    <w:rsid w:val="53F34B80"/>
    <w:rsid w:val="53F93828"/>
    <w:rsid w:val="53F94D9A"/>
    <w:rsid w:val="53FA6EEB"/>
    <w:rsid w:val="53FF488B"/>
    <w:rsid w:val="54226D74"/>
    <w:rsid w:val="54534C76"/>
    <w:rsid w:val="54863CAC"/>
    <w:rsid w:val="54914A0C"/>
    <w:rsid w:val="54C074E5"/>
    <w:rsid w:val="54C86EEE"/>
    <w:rsid w:val="54DE7749"/>
    <w:rsid w:val="54E81A63"/>
    <w:rsid w:val="54FB5CCA"/>
    <w:rsid w:val="550004BE"/>
    <w:rsid w:val="550212EA"/>
    <w:rsid w:val="552507CE"/>
    <w:rsid w:val="553539DB"/>
    <w:rsid w:val="55416629"/>
    <w:rsid w:val="55794147"/>
    <w:rsid w:val="559E7A14"/>
    <w:rsid w:val="55B5168E"/>
    <w:rsid w:val="55B56F74"/>
    <w:rsid w:val="55C559ED"/>
    <w:rsid w:val="55CB10E4"/>
    <w:rsid w:val="56175C35"/>
    <w:rsid w:val="56270F2E"/>
    <w:rsid w:val="562856DD"/>
    <w:rsid w:val="56461371"/>
    <w:rsid w:val="566A5779"/>
    <w:rsid w:val="566C4303"/>
    <w:rsid w:val="56881828"/>
    <w:rsid w:val="56A4376F"/>
    <w:rsid w:val="56AB46BD"/>
    <w:rsid w:val="56B9479E"/>
    <w:rsid w:val="56C7181D"/>
    <w:rsid w:val="56CF263F"/>
    <w:rsid w:val="57296C6F"/>
    <w:rsid w:val="57315800"/>
    <w:rsid w:val="57432C7E"/>
    <w:rsid w:val="57791E3F"/>
    <w:rsid w:val="5781138C"/>
    <w:rsid w:val="578A642E"/>
    <w:rsid w:val="5809127C"/>
    <w:rsid w:val="582131E4"/>
    <w:rsid w:val="582C3F7E"/>
    <w:rsid w:val="582F73E6"/>
    <w:rsid w:val="58450F24"/>
    <w:rsid w:val="585719BB"/>
    <w:rsid w:val="58B35B42"/>
    <w:rsid w:val="59135A18"/>
    <w:rsid w:val="592549FD"/>
    <w:rsid w:val="593E3B0B"/>
    <w:rsid w:val="59557ED8"/>
    <w:rsid w:val="595B670A"/>
    <w:rsid w:val="596A6194"/>
    <w:rsid w:val="596C2A61"/>
    <w:rsid w:val="59AA3B03"/>
    <w:rsid w:val="59B91687"/>
    <w:rsid w:val="59B953CD"/>
    <w:rsid w:val="59BD7971"/>
    <w:rsid w:val="59C93155"/>
    <w:rsid w:val="59D0017F"/>
    <w:rsid w:val="59DC2781"/>
    <w:rsid w:val="59E10DAA"/>
    <w:rsid w:val="59EE16C8"/>
    <w:rsid w:val="59F64EEE"/>
    <w:rsid w:val="5A18117D"/>
    <w:rsid w:val="5A1D11DF"/>
    <w:rsid w:val="5A1D3BFA"/>
    <w:rsid w:val="5A38652F"/>
    <w:rsid w:val="5A6D3BE8"/>
    <w:rsid w:val="5A7155B4"/>
    <w:rsid w:val="5A796C91"/>
    <w:rsid w:val="5A7D4025"/>
    <w:rsid w:val="5A864DF1"/>
    <w:rsid w:val="5AB71D18"/>
    <w:rsid w:val="5AB86936"/>
    <w:rsid w:val="5AC033CE"/>
    <w:rsid w:val="5B1159D7"/>
    <w:rsid w:val="5B190D70"/>
    <w:rsid w:val="5B366AB7"/>
    <w:rsid w:val="5B715A14"/>
    <w:rsid w:val="5B8708B6"/>
    <w:rsid w:val="5B953557"/>
    <w:rsid w:val="5BDE2ACE"/>
    <w:rsid w:val="5C013209"/>
    <w:rsid w:val="5C043EA2"/>
    <w:rsid w:val="5C126390"/>
    <w:rsid w:val="5C1F6E31"/>
    <w:rsid w:val="5C2B478B"/>
    <w:rsid w:val="5C403D92"/>
    <w:rsid w:val="5C4530E0"/>
    <w:rsid w:val="5C4A7E3F"/>
    <w:rsid w:val="5C6365A7"/>
    <w:rsid w:val="5C972FA9"/>
    <w:rsid w:val="5CE82B5D"/>
    <w:rsid w:val="5CF22ABD"/>
    <w:rsid w:val="5CF401E3"/>
    <w:rsid w:val="5CF8091A"/>
    <w:rsid w:val="5D4F1273"/>
    <w:rsid w:val="5D5E4DB7"/>
    <w:rsid w:val="5D7D4AFD"/>
    <w:rsid w:val="5D8C5093"/>
    <w:rsid w:val="5D985004"/>
    <w:rsid w:val="5DA371D0"/>
    <w:rsid w:val="5DA93E11"/>
    <w:rsid w:val="5DDD5DA4"/>
    <w:rsid w:val="5DE1135B"/>
    <w:rsid w:val="5DFC62F3"/>
    <w:rsid w:val="5E0A472B"/>
    <w:rsid w:val="5E43602D"/>
    <w:rsid w:val="5E442891"/>
    <w:rsid w:val="5E6422E9"/>
    <w:rsid w:val="5E6857C9"/>
    <w:rsid w:val="5E731884"/>
    <w:rsid w:val="5E7A3D6C"/>
    <w:rsid w:val="5EBD452A"/>
    <w:rsid w:val="5EC11AE0"/>
    <w:rsid w:val="5EC4275F"/>
    <w:rsid w:val="5F047522"/>
    <w:rsid w:val="5F0A2A67"/>
    <w:rsid w:val="5F247903"/>
    <w:rsid w:val="5F555D36"/>
    <w:rsid w:val="5F876C8C"/>
    <w:rsid w:val="5F90607E"/>
    <w:rsid w:val="5FAA163C"/>
    <w:rsid w:val="603034BA"/>
    <w:rsid w:val="60305610"/>
    <w:rsid w:val="604F52EB"/>
    <w:rsid w:val="6051048B"/>
    <w:rsid w:val="607262CE"/>
    <w:rsid w:val="608C1993"/>
    <w:rsid w:val="60995339"/>
    <w:rsid w:val="60A4652D"/>
    <w:rsid w:val="60CC29B3"/>
    <w:rsid w:val="612321D6"/>
    <w:rsid w:val="61431005"/>
    <w:rsid w:val="616D785D"/>
    <w:rsid w:val="61767A65"/>
    <w:rsid w:val="61943DF7"/>
    <w:rsid w:val="61AC46D9"/>
    <w:rsid w:val="61C00B9C"/>
    <w:rsid w:val="61D67586"/>
    <w:rsid w:val="61F152F5"/>
    <w:rsid w:val="620B6C42"/>
    <w:rsid w:val="624D71A8"/>
    <w:rsid w:val="62E01CB9"/>
    <w:rsid w:val="62E12E7A"/>
    <w:rsid w:val="62E363F0"/>
    <w:rsid w:val="62F424CE"/>
    <w:rsid w:val="62FC582A"/>
    <w:rsid w:val="62FD4D82"/>
    <w:rsid w:val="63316F8A"/>
    <w:rsid w:val="633D2A0B"/>
    <w:rsid w:val="63513562"/>
    <w:rsid w:val="636E5CDA"/>
    <w:rsid w:val="6387689D"/>
    <w:rsid w:val="639456EF"/>
    <w:rsid w:val="639A641D"/>
    <w:rsid w:val="63B55005"/>
    <w:rsid w:val="63DF1E74"/>
    <w:rsid w:val="63E84726"/>
    <w:rsid w:val="64005619"/>
    <w:rsid w:val="64466609"/>
    <w:rsid w:val="64623334"/>
    <w:rsid w:val="647B2ADE"/>
    <w:rsid w:val="649713DF"/>
    <w:rsid w:val="64A5552C"/>
    <w:rsid w:val="64AE10E0"/>
    <w:rsid w:val="64BA47D6"/>
    <w:rsid w:val="64F300D6"/>
    <w:rsid w:val="650568A2"/>
    <w:rsid w:val="6520140A"/>
    <w:rsid w:val="65235EC8"/>
    <w:rsid w:val="6532552A"/>
    <w:rsid w:val="654B0900"/>
    <w:rsid w:val="65861491"/>
    <w:rsid w:val="65934E1F"/>
    <w:rsid w:val="65992F9A"/>
    <w:rsid w:val="659A2BBD"/>
    <w:rsid w:val="65A93AD5"/>
    <w:rsid w:val="66090261"/>
    <w:rsid w:val="660D42A5"/>
    <w:rsid w:val="66522219"/>
    <w:rsid w:val="665A4C81"/>
    <w:rsid w:val="666C4E98"/>
    <w:rsid w:val="66733A0D"/>
    <w:rsid w:val="66763229"/>
    <w:rsid w:val="667B5015"/>
    <w:rsid w:val="668B4557"/>
    <w:rsid w:val="66AD5901"/>
    <w:rsid w:val="66CA76A7"/>
    <w:rsid w:val="67401142"/>
    <w:rsid w:val="6788497B"/>
    <w:rsid w:val="67971E64"/>
    <w:rsid w:val="67BB40F0"/>
    <w:rsid w:val="67F84C1B"/>
    <w:rsid w:val="68065EC7"/>
    <w:rsid w:val="680F0DA7"/>
    <w:rsid w:val="68231C5A"/>
    <w:rsid w:val="685E01C1"/>
    <w:rsid w:val="68E16EE3"/>
    <w:rsid w:val="68E469A7"/>
    <w:rsid w:val="68EB3E56"/>
    <w:rsid w:val="69093C5A"/>
    <w:rsid w:val="690C4148"/>
    <w:rsid w:val="69126D60"/>
    <w:rsid w:val="6923630A"/>
    <w:rsid w:val="693A5951"/>
    <w:rsid w:val="695642FC"/>
    <w:rsid w:val="69714A50"/>
    <w:rsid w:val="697C2E5E"/>
    <w:rsid w:val="697E5E8E"/>
    <w:rsid w:val="699675F9"/>
    <w:rsid w:val="69A767E0"/>
    <w:rsid w:val="69D42243"/>
    <w:rsid w:val="6A233BD4"/>
    <w:rsid w:val="6A23455F"/>
    <w:rsid w:val="6A4F7821"/>
    <w:rsid w:val="6A9702B8"/>
    <w:rsid w:val="6AB36CE2"/>
    <w:rsid w:val="6AE915A3"/>
    <w:rsid w:val="6B2C4D8E"/>
    <w:rsid w:val="6B5143D3"/>
    <w:rsid w:val="6B83171A"/>
    <w:rsid w:val="6B8D7E2B"/>
    <w:rsid w:val="6BC010AB"/>
    <w:rsid w:val="6BC02D23"/>
    <w:rsid w:val="6BC5172D"/>
    <w:rsid w:val="6BCD4B0B"/>
    <w:rsid w:val="6BF876ED"/>
    <w:rsid w:val="6C341332"/>
    <w:rsid w:val="6C606510"/>
    <w:rsid w:val="6C9E398F"/>
    <w:rsid w:val="6CD23598"/>
    <w:rsid w:val="6CE04EAC"/>
    <w:rsid w:val="6D1669C9"/>
    <w:rsid w:val="6D1B20DB"/>
    <w:rsid w:val="6D1D142E"/>
    <w:rsid w:val="6D1E5CFA"/>
    <w:rsid w:val="6D277B91"/>
    <w:rsid w:val="6D39776E"/>
    <w:rsid w:val="6D60667F"/>
    <w:rsid w:val="6D982CB0"/>
    <w:rsid w:val="6DB9085E"/>
    <w:rsid w:val="6DB93016"/>
    <w:rsid w:val="6DBD2989"/>
    <w:rsid w:val="6DD60B28"/>
    <w:rsid w:val="6DEB1F03"/>
    <w:rsid w:val="6DF16E2E"/>
    <w:rsid w:val="6E020B47"/>
    <w:rsid w:val="6E0433D6"/>
    <w:rsid w:val="6E061C35"/>
    <w:rsid w:val="6E126A60"/>
    <w:rsid w:val="6E13485C"/>
    <w:rsid w:val="6E272FF8"/>
    <w:rsid w:val="6E2E5ED1"/>
    <w:rsid w:val="6E623EC3"/>
    <w:rsid w:val="6E935659"/>
    <w:rsid w:val="6EF17CB1"/>
    <w:rsid w:val="6EF90115"/>
    <w:rsid w:val="6F2A0E97"/>
    <w:rsid w:val="6F393748"/>
    <w:rsid w:val="6FB12DF8"/>
    <w:rsid w:val="6FD460CC"/>
    <w:rsid w:val="6FE3114C"/>
    <w:rsid w:val="6FE435BC"/>
    <w:rsid w:val="70323E5D"/>
    <w:rsid w:val="70585414"/>
    <w:rsid w:val="705C19B0"/>
    <w:rsid w:val="7063216F"/>
    <w:rsid w:val="70704E3E"/>
    <w:rsid w:val="70892292"/>
    <w:rsid w:val="70FF4A6B"/>
    <w:rsid w:val="71054CB0"/>
    <w:rsid w:val="711969B4"/>
    <w:rsid w:val="71594A48"/>
    <w:rsid w:val="71AD5B21"/>
    <w:rsid w:val="71C248A6"/>
    <w:rsid w:val="71E416A5"/>
    <w:rsid w:val="72306A8E"/>
    <w:rsid w:val="725D27E5"/>
    <w:rsid w:val="72636E73"/>
    <w:rsid w:val="72682B6C"/>
    <w:rsid w:val="72683D59"/>
    <w:rsid w:val="727058C0"/>
    <w:rsid w:val="72792984"/>
    <w:rsid w:val="727A4DF6"/>
    <w:rsid w:val="72933FAE"/>
    <w:rsid w:val="72AD6831"/>
    <w:rsid w:val="72B95654"/>
    <w:rsid w:val="72D83F8B"/>
    <w:rsid w:val="72EE51FF"/>
    <w:rsid w:val="7329782F"/>
    <w:rsid w:val="732E3907"/>
    <w:rsid w:val="7333460B"/>
    <w:rsid w:val="73460D73"/>
    <w:rsid w:val="735356C8"/>
    <w:rsid w:val="7359089D"/>
    <w:rsid w:val="735C581D"/>
    <w:rsid w:val="73694A32"/>
    <w:rsid w:val="73822A84"/>
    <w:rsid w:val="739937C9"/>
    <w:rsid w:val="739F50CA"/>
    <w:rsid w:val="73B96D75"/>
    <w:rsid w:val="73CC266A"/>
    <w:rsid w:val="73DB2BCF"/>
    <w:rsid w:val="73F0212C"/>
    <w:rsid w:val="740117C0"/>
    <w:rsid w:val="740D084F"/>
    <w:rsid w:val="743857ED"/>
    <w:rsid w:val="744672A9"/>
    <w:rsid w:val="74524FA0"/>
    <w:rsid w:val="746644B9"/>
    <w:rsid w:val="749A456A"/>
    <w:rsid w:val="749B06B6"/>
    <w:rsid w:val="74A32FCD"/>
    <w:rsid w:val="74A5605A"/>
    <w:rsid w:val="74C04C55"/>
    <w:rsid w:val="74D057DD"/>
    <w:rsid w:val="74F97BD4"/>
    <w:rsid w:val="752A5B2D"/>
    <w:rsid w:val="75337560"/>
    <w:rsid w:val="7584628C"/>
    <w:rsid w:val="75982ABA"/>
    <w:rsid w:val="75ED56CC"/>
    <w:rsid w:val="76022CFF"/>
    <w:rsid w:val="76337C6C"/>
    <w:rsid w:val="76386CF7"/>
    <w:rsid w:val="76C03A76"/>
    <w:rsid w:val="76C13DA5"/>
    <w:rsid w:val="76C34EAF"/>
    <w:rsid w:val="76ED1D84"/>
    <w:rsid w:val="76FA6763"/>
    <w:rsid w:val="770733D7"/>
    <w:rsid w:val="771612A2"/>
    <w:rsid w:val="775566C2"/>
    <w:rsid w:val="779049C0"/>
    <w:rsid w:val="77AF34EC"/>
    <w:rsid w:val="77BE1520"/>
    <w:rsid w:val="77DD5BA4"/>
    <w:rsid w:val="77E42641"/>
    <w:rsid w:val="77EA324B"/>
    <w:rsid w:val="77EF7076"/>
    <w:rsid w:val="78035EE0"/>
    <w:rsid w:val="78D003E4"/>
    <w:rsid w:val="78E6420E"/>
    <w:rsid w:val="78ED393D"/>
    <w:rsid w:val="79094FC7"/>
    <w:rsid w:val="79444F95"/>
    <w:rsid w:val="795561FB"/>
    <w:rsid w:val="796A079E"/>
    <w:rsid w:val="796C7020"/>
    <w:rsid w:val="799D6993"/>
    <w:rsid w:val="7A081A72"/>
    <w:rsid w:val="7A2D7FB6"/>
    <w:rsid w:val="7A724C61"/>
    <w:rsid w:val="7A745529"/>
    <w:rsid w:val="7A781D3C"/>
    <w:rsid w:val="7A7B343C"/>
    <w:rsid w:val="7A83365A"/>
    <w:rsid w:val="7A922D4E"/>
    <w:rsid w:val="7A930B9A"/>
    <w:rsid w:val="7AD03F3F"/>
    <w:rsid w:val="7AE061F1"/>
    <w:rsid w:val="7B503CAA"/>
    <w:rsid w:val="7B522445"/>
    <w:rsid w:val="7B561572"/>
    <w:rsid w:val="7B5F19B0"/>
    <w:rsid w:val="7B6D62E0"/>
    <w:rsid w:val="7B95154C"/>
    <w:rsid w:val="7BD0559A"/>
    <w:rsid w:val="7C1653F4"/>
    <w:rsid w:val="7C814455"/>
    <w:rsid w:val="7C9C49B2"/>
    <w:rsid w:val="7CBF3E48"/>
    <w:rsid w:val="7CFA2541"/>
    <w:rsid w:val="7D5028FC"/>
    <w:rsid w:val="7D5C5865"/>
    <w:rsid w:val="7D85259A"/>
    <w:rsid w:val="7D896E8C"/>
    <w:rsid w:val="7D966700"/>
    <w:rsid w:val="7E143EFB"/>
    <w:rsid w:val="7E250B4B"/>
    <w:rsid w:val="7E2E4120"/>
    <w:rsid w:val="7E470AF8"/>
    <w:rsid w:val="7E5F515A"/>
    <w:rsid w:val="7E715700"/>
    <w:rsid w:val="7E8C5F86"/>
    <w:rsid w:val="7EAB7AE1"/>
    <w:rsid w:val="7EB94104"/>
    <w:rsid w:val="7EBC43AE"/>
    <w:rsid w:val="7EC40724"/>
    <w:rsid w:val="7ED52C87"/>
    <w:rsid w:val="7EFC3B64"/>
    <w:rsid w:val="7F015451"/>
    <w:rsid w:val="7F0F5048"/>
    <w:rsid w:val="7F6307F0"/>
    <w:rsid w:val="7F8A5933"/>
    <w:rsid w:val="7FA06871"/>
    <w:rsid w:val="7FC052A0"/>
    <w:rsid w:val="7FC25955"/>
    <w:rsid w:val="7FCD3A30"/>
    <w:rsid w:val="7FD178C3"/>
    <w:rsid w:val="7FDB63A1"/>
    <w:rsid w:val="7FF62AF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2"/>
    <w:basedOn w:val="1"/>
    <w:next w:val="1"/>
    <w:link w:val="16"/>
    <w:autoRedefine/>
    <w:qFormat/>
    <w:uiPriority w:val="99"/>
    <w:pPr>
      <w:keepNext/>
      <w:keepLines/>
      <w:numPr>
        <w:ilvl w:val="1"/>
        <w:numId w:val="1"/>
      </w:numPr>
      <w:adjustRightInd w:val="0"/>
      <w:spacing w:line="416" w:lineRule="atLeast"/>
      <w:jc w:val="left"/>
      <w:textAlignment w:val="baseline"/>
      <w:outlineLvl w:val="1"/>
    </w:pPr>
    <w:rPr>
      <w:rFonts w:ascii="Arial" w:hAnsi="Arial" w:eastAsia="黑体"/>
      <w:b/>
      <w:kern w:val="0"/>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autoRedefine/>
    <w:qFormat/>
    <w:uiPriority w:val="99"/>
    <w:pPr>
      <w:autoSpaceDN/>
      <w:spacing w:after="120" w:line="312" w:lineRule="atLeast"/>
      <w:ind w:left="420" w:leftChars="200" w:firstLine="420" w:firstLineChars="200"/>
    </w:pPr>
  </w:style>
  <w:style w:type="paragraph" w:styleId="3">
    <w:name w:val="Body Text Indent"/>
    <w:basedOn w:val="1"/>
    <w:autoRedefine/>
    <w:qFormat/>
    <w:uiPriority w:val="99"/>
    <w:pPr>
      <w:autoSpaceDN w:val="0"/>
      <w:adjustRightInd w:val="0"/>
      <w:textAlignment w:val="baseline"/>
    </w:pPr>
    <w:rPr>
      <w:kern w:val="0"/>
      <w:sz w:val="24"/>
    </w:rPr>
  </w:style>
  <w:style w:type="paragraph" w:styleId="5">
    <w:name w:val="Balloon Text"/>
    <w:basedOn w:val="1"/>
    <w:link w:val="20"/>
    <w:autoRedefine/>
    <w:semiHidden/>
    <w:unhideWhenUsed/>
    <w:qFormat/>
    <w:uiPriority w:val="99"/>
    <w:rPr>
      <w:sz w:val="18"/>
      <w:szCs w:val="18"/>
    </w:rPr>
  </w:style>
  <w:style w:type="paragraph" w:styleId="6">
    <w:name w:val="footer"/>
    <w:basedOn w:val="1"/>
    <w:link w:val="17"/>
    <w:autoRedefine/>
    <w:qFormat/>
    <w:uiPriority w:val="99"/>
    <w:pPr>
      <w:tabs>
        <w:tab w:val="center" w:pos="4153"/>
        <w:tab w:val="right" w:pos="8306"/>
      </w:tabs>
      <w:snapToGrid w:val="0"/>
      <w:jc w:val="left"/>
    </w:pPr>
    <w:rPr>
      <w:sz w:val="18"/>
    </w:rPr>
  </w:style>
  <w:style w:type="paragraph" w:styleId="7">
    <w:name w:val="header"/>
    <w:basedOn w:val="1"/>
    <w:link w:val="18"/>
    <w:autoRedefine/>
    <w:qFormat/>
    <w:uiPriority w:val="99"/>
    <w:pPr>
      <w:pBdr>
        <w:bottom w:val="single" w:color="auto" w:sz="6" w:space="1"/>
      </w:pBdr>
      <w:tabs>
        <w:tab w:val="center" w:pos="4153"/>
        <w:tab w:val="right" w:pos="8306"/>
      </w:tabs>
      <w:snapToGrid w:val="0"/>
      <w:jc w:val="center"/>
    </w:pPr>
    <w:rPr>
      <w:sz w:val="18"/>
    </w:rPr>
  </w:style>
  <w:style w:type="paragraph" w:styleId="8">
    <w:name w:val="Normal (Web)"/>
    <w:basedOn w:val="1"/>
    <w:autoRedefine/>
    <w:unhideWhenUsed/>
    <w:qFormat/>
    <w:uiPriority w:val="99"/>
    <w:pPr>
      <w:spacing w:beforeAutospacing="1" w:afterAutospacing="1" w:line="330" w:lineRule="atLeast"/>
      <w:jc w:val="left"/>
    </w:pPr>
    <w:rPr>
      <w:rFonts w:ascii="宋体" w:hAnsi="宋体"/>
      <w:kern w:val="0"/>
      <w:sz w:val="22"/>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autoRedefine/>
    <w:qFormat/>
    <w:locked/>
    <w:uiPriority w:val="0"/>
    <w:rPr>
      <w:b/>
    </w:rPr>
  </w:style>
  <w:style w:type="character" w:styleId="13">
    <w:name w:val="page number"/>
    <w:basedOn w:val="11"/>
    <w:autoRedefine/>
    <w:qFormat/>
    <w:uiPriority w:val="99"/>
    <w:rPr>
      <w:rFonts w:cs="Times New Roman"/>
    </w:rPr>
  </w:style>
  <w:style w:type="character" w:styleId="14">
    <w:name w:val="FollowedHyperlink"/>
    <w:basedOn w:val="11"/>
    <w:autoRedefine/>
    <w:unhideWhenUsed/>
    <w:qFormat/>
    <w:uiPriority w:val="99"/>
    <w:rPr>
      <w:color w:val="0000CC"/>
      <w:sz w:val="22"/>
      <w:szCs w:val="22"/>
      <w:u w:val="single"/>
    </w:rPr>
  </w:style>
  <w:style w:type="character" w:styleId="15">
    <w:name w:val="Hyperlink"/>
    <w:basedOn w:val="11"/>
    <w:autoRedefine/>
    <w:unhideWhenUsed/>
    <w:qFormat/>
    <w:uiPriority w:val="99"/>
    <w:rPr>
      <w:b/>
      <w:color w:val="0000CC"/>
      <w:sz w:val="22"/>
      <w:szCs w:val="22"/>
      <w:u w:val="single"/>
    </w:rPr>
  </w:style>
  <w:style w:type="character" w:customStyle="1" w:styleId="16">
    <w:name w:val="标题 2 Char"/>
    <w:basedOn w:val="11"/>
    <w:link w:val="4"/>
    <w:autoRedefine/>
    <w:qFormat/>
    <w:uiPriority w:val="99"/>
    <w:rPr>
      <w:rFonts w:ascii="Arial" w:hAnsi="Arial" w:eastAsia="黑体"/>
      <w:b/>
      <w:sz w:val="32"/>
      <w:szCs w:val="22"/>
    </w:rPr>
  </w:style>
  <w:style w:type="character" w:customStyle="1" w:styleId="17">
    <w:name w:val="页脚 Char"/>
    <w:basedOn w:val="11"/>
    <w:link w:val="6"/>
    <w:autoRedefine/>
    <w:semiHidden/>
    <w:qFormat/>
    <w:uiPriority w:val="99"/>
    <w:rPr>
      <w:sz w:val="18"/>
      <w:szCs w:val="18"/>
    </w:rPr>
  </w:style>
  <w:style w:type="character" w:customStyle="1" w:styleId="18">
    <w:name w:val="页眉 Char"/>
    <w:basedOn w:val="11"/>
    <w:link w:val="7"/>
    <w:autoRedefine/>
    <w:semiHidden/>
    <w:qFormat/>
    <w:uiPriority w:val="99"/>
    <w:rPr>
      <w:sz w:val="18"/>
      <w:szCs w:val="18"/>
    </w:rPr>
  </w:style>
  <w:style w:type="paragraph" w:customStyle="1" w:styleId="19">
    <w:name w:val="p0"/>
    <w:basedOn w:val="1"/>
    <w:autoRedefine/>
    <w:qFormat/>
    <w:uiPriority w:val="99"/>
    <w:pPr>
      <w:widowControl/>
    </w:pPr>
  </w:style>
  <w:style w:type="character" w:customStyle="1" w:styleId="20">
    <w:name w:val="批注框文本 Char"/>
    <w:basedOn w:val="11"/>
    <w:link w:val="5"/>
    <w:autoRedefine/>
    <w:semiHidden/>
    <w:qFormat/>
    <w:uiPriority w:val="99"/>
    <w:rPr>
      <w:rFonts w:ascii="Calibri" w:hAnsi="Calibri"/>
      <w:kern w:val="2"/>
      <w:sz w:val="18"/>
      <w:szCs w:val="18"/>
    </w:rPr>
  </w:style>
  <w:style w:type="character" w:customStyle="1" w:styleId="21">
    <w:name w:val="font01"/>
    <w:basedOn w:val="11"/>
    <w:autoRedefine/>
    <w:qFormat/>
    <w:uiPriority w:val="0"/>
    <w:rPr>
      <w:rFonts w:hint="eastAsia" w:ascii="宋体" w:hAnsi="宋体" w:eastAsia="宋体" w:cs="宋体"/>
      <w:color w:val="000000"/>
      <w:sz w:val="22"/>
      <w:szCs w:val="22"/>
      <w:u w:val="none"/>
    </w:rPr>
  </w:style>
  <w:style w:type="character" w:customStyle="1" w:styleId="22">
    <w:name w:val="font21"/>
    <w:basedOn w:val="11"/>
    <w:autoRedefine/>
    <w:qFormat/>
    <w:uiPriority w:val="0"/>
    <w:rPr>
      <w:rFonts w:hint="default" w:ascii="tggj" w:hAnsi="tggj" w:eastAsia="tggj" w:cs="tggj"/>
      <w:color w:val="000000"/>
      <w:sz w:val="22"/>
      <w:szCs w:val="22"/>
      <w:u w:val="none"/>
    </w:rPr>
  </w:style>
  <w:style w:type="character" w:customStyle="1" w:styleId="23">
    <w:name w:val="NormalCharacter"/>
    <w:autoRedefine/>
    <w:qFormat/>
    <w:uiPriority w:val="0"/>
  </w:style>
  <w:style w:type="character" w:customStyle="1" w:styleId="24">
    <w:name w:val="style71"/>
    <w:basedOn w:val="11"/>
    <w:autoRedefine/>
    <w:qFormat/>
    <w:uiPriority w:val="0"/>
    <w:rPr>
      <w:sz w:val="30"/>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5621</Words>
  <Characters>6457</Characters>
  <Lines>49</Lines>
  <Paragraphs>13</Paragraphs>
  <TotalTime>0</TotalTime>
  <ScaleCrop>false</ScaleCrop>
  <LinksUpToDate>false</LinksUpToDate>
  <CharactersWithSpaces>6780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2014-01-19T06:47:00Z</dcterms:created>
  <dc:creator>Administrator</dc:creator>
  <cp:lastModifiedBy>[´・ω・`]</cp:lastModifiedBy>
  <cp:lastPrinted>2024-06-12T01:21:00Z</cp:lastPrinted>
  <dcterms:modified xsi:type="dcterms:W3CDTF">2024-12-12T10:31:09Z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59D96921311245B4A08A5749F947C341_13</vt:lpwstr>
  </property>
</Properties>
</file>